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F97" w:rsidRPr="00C77F97" w:rsidRDefault="00C77F97" w:rsidP="00C77F97">
      <w:pPr>
        <w:spacing w:line="240" w:lineRule="auto"/>
        <w:jc w:val="center"/>
        <w:rPr>
          <w:rFonts w:eastAsia="Times New Roman" w:cs="Times New Roman"/>
          <w:color w:val="auto"/>
          <w:szCs w:val="24"/>
          <w:lang w:val="es-CO"/>
        </w:rPr>
      </w:pPr>
      <w:r w:rsidRPr="00C77F97">
        <w:rPr>
          <w:rFonts w:eastAsia="Times New Roman" w:cs="Times New Roman"/>
          <w:b/>
          <w:bCs/>
          <w:color w:val="auto"/>
          <w:szCs w:val="24"/>
          <w:lang w:val="es-CO"/>
        </w:rPr>
        <w:t>Resolución Nº 0509</w:t>
      </w:r>
    </w:p>
    <w:p w:rsidR="00C77F97" w:rsidRPr="00C77F97" w:rsidRDefault="00C77F97" w:rsidP="00C77F97">
      <w:pPr>
        <w:spacing w:line="240" w:lineRule="auto"/>
        <w:jc w:val="center"/>
        <w:rPr>
          <w:rFonts w:eastAsia="Times New Roman" w:cs="Times New Roman"/>
          <w:color w:val="auto"/>
          <w:szCs w:val="24"/>
          <w:lang w:val="es-CO"/>
        </w:rPr>
      </w:pPr>
      <w:r w:rsidRPr="00C77F97">
        <w:rPr>
          <w:rFonts w:eastAsia="Times New Roman" w:cs="Times New Roman"/>
          <w:b/>
          <w:bCs/>
          <w:color w:val="auto"/>
          <w:szCs w:val="24"/>
          <w:lang w:val="es-CO"/>
        </w:rPr>
        <w:t>03-04-2018</w:t>
      </w:r>
    </w:p>
    <w:p w:rsidR="00C77F97" w:rsidRPr="00C77F97" w:rsidRDefault="00C77F97" w:rsidP="00C77F97">
      <w:pPr>
        <w:spacing w:line="240" w:lineRule="auto"/>
        <w:jc w:val="center"/>
        <w:rPr>
          <w:rFonts w:eastAsia="Times New Roman" w:cs="Times New Roman"/>
          <w:color w:val="auto"/>
          <w:szCs w:val="24"/>
          <w:lang w:val="es-CO"/>
        </w:rPr>
      </w:pPr>
      <w:r w:rsidRPr="00C77F97">
        <w:rPr>
          <w:rFonts w:eastAsia="Times New Roman" w:cs="Times New Roman"/>
          <w:b/>
          <w:bCs/>
          <w:color w:val="auto"/>
          <w:szCs w:val="24"/>
          <w:lang w:val="es-CO"/>
        </w:rPr>
        <w:t>Ministerio de Ambiente y Desarrollo Sostenible</w:t>
      </w:r>
    </w:p>
    <w:p w:rsidR="00C77F97" w:rsidRPr="00C77F97" w:rsidRDefault="00C77F97" w:rsidP="00C77F97">
      <w:pPr>
        <w:spacing w:line="240" w:lineRule="auto"/>
        <w:jc w:val="center"/>
        <w:rPr>
          <w:rFonts w:eastAsia="Times New Roman" w:cs="Times New Roman"/>
          <w:color w:val="auto"/>
          <w:szCs w:val="24"/>
          <w:lang w:val="es-CO"/>
        </w:rPr>
      </w:pPr>
      <w:r w:rsidRPr="00C77F97">
        <w:rPr>
          <w:rFonts w:eastAsia="Times New Roman" w:cs="Times New Roman"/>
          <w:b/>
          <w:bCs/>
          <w:i/>
          <w:iCs/>
          <w:color w:val="auto"/>
          <w:szCs w:val="24"/>
          <w:lang w:val="es-CO"/>
        </w:rPr>
        <w:t> </w:t>
      </w:r>
    </w:p>
    <w:p w:rsidR="00C77F97" w:rsidRPr="00C77F97" w:rsidRDefault="00C77F97" w:rsidP="00C77F97">
      <w:pPr>
        <w:spacing w:line="240" w:lineRule="auto"/>
        <w:jc w:val="center"/>
        <w:rPr>
          <w:rFonts w:eastAsia="Times New Roman" w:cs="Times New Roman"/>
          <w:color w:val="auto"/>
          <w:szCs w:val="24"/>
          <w:lang w:val="es-CO"/>
        </w:rPr>
      </w:pPr>
      <w:r w:rsidRPr="00C77F97">
        <w:rPr>
          <w:rFonts w:eastAsia="Times New Roman" w:cs="Times New Roman"/>
          <w:b/>
          <w:bCs/>
          <w:i/>
          <w:iCs/>
          <w:color w:val="auto"/>
          <w:szCs w:val="24"/>
          <w:lang w:val="es-CO"/>
        </w:rPr>
        <w:t> </w:t>
      </w:r>
    </w:p>
    <w:p w:rsidR="00C77F97" w:rsidRPr="00C77F97" w:rsidRDefault="00C77F97" w:rsidP="00C77F97">
      <w:pPr>
        <w:spacing w:line="240" w:lineRule="auto"/>
        <w:jc w:val="center"/>
        <w:rPr>
          <w:rFonts w:eastAsia="Times New Roman" w:cs="Times New Roman"/>
          <w:color w:val="auto"/>
          <w:szCs w:val="24"/>
          <w:lang w:val="es-CO"/>
        </w:rPr>
      </w:pPr>
      <w:r w:rsidRPr="00C77F97">
        <w:rPr>
          <w:rFonts w:eastAsia="Times New Roman" w:cs="Times New Roman"/>
          <w:i/>
          <w:iCs/>
          <w:color w:val="auto"/>
          <w:szCs w:val="24"/>
          <w:lang w:val="es-CO"/>
        </w:rPr>
        <w:t>por la cual se establecen la forma y requisitos para solicitar ante las autoridades ambientales competentes la acreditación o certificación de las inversiones de control del medio ambiente y conservación y mejoramiento del medio ambiente y se dictan otras disposiciones.</w:t>
      </w:r>
    </w:p>
    <w:p w:rsidR="00C77F97" w:rsidRPr="00C77F97" w:rsidRDefault="00C77F97" w:rsidP="00C77F97">
      <w:pPr>
        <w:spacing w:line="240" w:lineRule="auto"/>
        <w:rPr>
          <w:rFonts w:eastAsia="Times New Roman" w:cs="Times New Roman"/>
          <w:color w:val="auto"/>
          <w:szCs w:val="24"/>
          <w:lang w:val="es-CO"/>
        </w:rPr>
      </w:pPr>
      <w:r w:rsidRPr="00C77F97">
        <w:rPr>
          <w:rFonts w:eastAsia="Times New Roman" w:cs="Times New Roman"/>
          <w:color w:val="auto"/>
          <w:szCs w:val="24"/>
          <w:lang w:val="es-CO"/>
        </w:rPr>
        <w:t> </w:t>
      </w:r>
    </w:p>
    <w:p w:rsidR="00C77F97" w:rsidRPr="00C77F97" w:rsidRDefault="00C77F97" w:rsidP="00C77F97">
      <w:pPr>
        <w:spacing w:line="240" w:lineRule="auto"/>
        <w:rPr>
          <w:rFonts w:eastAsia="Times New Roman" w:cs="Times New Roman"/>
          <w:color w:val="auto"/>
          <w:szCs w:val="24"/>
          <w:lang w:val="es-CO"/>
        </w:rPr>
      </w:pPr>
      <w:r w:rsidRPr="00C77F97">
        <w:rPr>
          <w:rFonts w:eastAsia="Times New Roman" w:cs="Times New Roman"/>
          <w:color w:val="auto"/>
          <w:szCs w:val="24"/>
          <w:lang w:val="es-CO"/>
        </w:rPr>
        <w:t>El Ministro de Ambiente y Desarrollo Sostenible, en ejercicio de sus facultades constitucionales y legales, en desarrollo del </w:t>
      </w:r>
      <w:r w:rsidR="002D4618">
        <w:fldChar w:fldCharType="begin"/>
      </w:r>
      <w:r w:rsidR="002D4618" w:rsidRPr="002D4618">
        <w:rPr>
          <w:lang w:val="es-CO"/>
        </w:rPr>
        <w:instrText xml:space="preserve"> HYPERLINK "https://www.ceta.</w:instrText>
      </w:r>
      <w:r w:rsidR="002D4618" w:rsidRPr="002D4618">
        <w:rPr>
          <w:lang w:val="es-CO"/>
        </w:rPr>
        <w:instrText xml:space="preserve">org.co/html/vista_de_un_articulo.asp?Norma=328" \o "Estatuto Tributario CETA" </w:instrText>
      </w:r>
      <w:r w:rsidR="002D4618">
        <w:fldChar w:fldCharType="separate"/>
      </w:r>
      <w:r w:rsidRPr="00C77F97">
        <w:rPr>
          <w:rFonts w:eastAsia="Times New Roman" w:cs="Times New Roman"/>
          <w:color w:val="auto"/>
          <w:szCs w:val="24"/>
          <w:u w:val="single"/>
          <w:lang w:val="es-CO"/>
        </w:rPr>
        <w:t>artículo 255</w:t>
      </w:r>
      <w:r w:rsidR="002D4618">
        <w:rPr>
          <w:rFonts w:eastAsia="Times New Roman" w:cs="Times New Roman"/>
          <w:color w:val="auto"/>
          <w:szCs w:val="24"/>
          <w:u w:val="single"/>
          <w:lang w:val="es-CO"/>
        </w:rPr>
        <w:fldChar w:fldCharType="end"/>
      </w:r>
      <w:r w:rsidRPr="00C77F97">
        <w:rPr>
          <w:rFonts w:eastAsia="Times New Roman" w:cs="Times New Roman"/>
          <w:color w:val="auto"/>
          <w:szCs w:val="24"/>
          <w:lang w:val="es-CO"/>
        </w:rPr>
        <w:t> del Estatuto Tributario adicionado por el artículo 103 de la Ley 1819 de 2016 y el parágrafo 1° del artículo 1.2.1.18.52. del Decreto 1625 de 2016 las conferidas en el artículo 45 de la Ley 1437 de 2011, y</w:t>
      </w:r>
    </w:p>
    <w:p w:rsidR="00C77F97" w:rsidRPr="00C77F97" w:rsidRDefault="00C77F97" w:rsidP="00C77F97">
      <w:pPr>
        <w:spacing w:line="240" w:lineRule="auto"/>
        <w:jc w:val="center"/>
        <w:rPr>
          <w:rFonts w:eastAsia="Times New Roman" w:cs="Times New Roman"/>
          <w:color w:val="auto"/>
          <w:szCs w:val="24"/>
          <w:lang w:val="es-CO"/>
        </w:rPr>
      </w:pPr>
      <w:r w:rsidRPr="00C77F97">
        <w:rPr>
          <w:rFonts w:eastAsia="Times New Roman" w:cs="Times New Roman"/>
          <w:color w:val="auto"/>
          <w:szCs w:val="24"/>
          <w:lang w:val="es-CO"/>
        </w:rPr>
        <w:t> </w:t>
      </w:r>
    </w:p>
    <w:p w:rsidR="00C77F97" w:rsidRPr="00C77F97" w:rsidRDefault="00C77F97" w:rsidP="00C77F97">
      <w:pPr>
        <w:spacing w:line="240" w:lineRule="auto"/>
        <w:jc w:val="center"/>
        <w:rPr>
          <w:rFonts w:eastAsia="Times New Roman" w:cs="Times New Roman"/>
          <w:color w:val="auto"/>
          <w:szCs w:val="24"/>
          <w:lang w:val="es-CO"/>
        </w:rPr>
      </w:pPr>
      <w:r w:rsidRPr="00C77F97">
        <w:rPr>
          <w:rFonts w:eastAsia="Times New Roman" w:cs="Times New Roman"/>
          <w:color w:val="auto"/>
          <w:szCs w:val="24"/>
          <w:lang w:val="es-CO"/>
        </w:rPr>
        <w:t> </w:t>
      </w:r>
    </w:p>
    <w:p w:rsidR="00C77F97" w:rsidRPr="00C77F97" w:rsidRDefault="00C77F97" w:rsidP="00C77F97">
      <w:pPr>
        <w:spacing w:line="240" w:lineRule="auto"/>
        <w:jc w:val="center"/>
        <w:rPr>
          <w:rFonts w:eastAsia="Times New Roman" w:cs="Times New Roman"/>
          <w:color w:val="auto"/>
          <w:szCs w:val="24"/>
          <w:lang w:val="es-CO"/>
        </w:rPr>
      </w:pPr>
      <w:r w:rsidRPr="00C77F97">
        <w:rPr>
          <w:rFonts w:eastAsia="Times New Roman" w:cs="Times New Roman"/>
          <w:b/>
          <w:bCs/>
          <w:color w:val="auto"/>
          <w:szCs w:val="24"/>
          <w:lang w:val="es-CO"/>
        </w:rPr>
        <w:t>CONSIDERANDO:</w:t>
      </w:r>
    </w:p>
    <w:p w:rsidR="00C77F97" w:rsidRPr="00C77F97" w:rsidRDefault="00C77F97" w:rsidP="00C77F97">
      <w:pPr>
        <w:spacing w:line="240" w:lineRule="auto"/>
        <w:rPr>
          <w:rFonts w:eastAsia="Times New Roman" w:cs="Times New Roman"/>
          <w:color w:val="auto"/>
          <w:szCs w:val="24"/>
          <w:lang w:val="es-CO"/>
        </w:rPr>
      </w:pPr>
      <w:r w:rsidRPr="00C77F97">
        <w:rPr>
          <w:rFonts w:eastAsia="Times New Roman" w:cs="Times New Roman"/>
          <w:b/>
          <w:bCs/>
          <w:color w:val="auto"/>
          <w:szCs w:val="24"/>
          <w:lang w:val="es-CO"/>
        </w:rPr>
        <w:t> </w:t>
      </w:r>
    </w:p>
    <w:p w:rsidR="00C77F97" w:rsidRPr="00C77F97" w:rsidRDefault="00C77F97" w:rsidP="00C77F97">
      <w:pPr>
        <w:spacing w:line="240" w:lineRule="auto"/>
        <w:rPr>
          <w:rFonts w:eastAsia="Times New Roman" w:cs="Times New Roman"/>
          <w:color w:val="auto"/>
          <w:szCs w:val="24"/>
          <w:lang w:val="es-CO"/>
        </w:rPr>
      </w:pPr>
      <w:r w:rsidRPr="00C77F97">
        <w:rPr>
          <w:rFonts w:eastAsia="Times New Roman" w:cs="Times New Roman"/>
          <w:color w:val="auto"/>
          <w:szCs w:val="24"/>
          <w:lang w:val="es-CO"/>
        </w:rPr>
        <w:t>Que el </w:t>
      </w:r>
      <w:r w:rsidR="002D4618">
        <w:fldChar w:fldCharType="begin"/>
      </w:r>
      <w:r w:rsidR="002D4618" w:rsidRPr="002D4618">
        <w:rPr>
          <w:lang w:val="es-CO"/>
        </w:rPr>
        <w:instrText xml:space="preserve"> HYPERLINK "https://www.ceta.org.co/html/vista_de_un_articulo.asp?Norma=328" \o "Estatuto Tributario CETA" </w:instrText>
      </w:r>
      <w:r w:rsidR="002D4618">
        <w:fldChar w:fldCharType="separate"/>
      </w:r>
      <w:r w:rsidRPr="00C77F97">
        <w:rPr>
          <w:rFonts w:eastAsia="Times New Roman" w:cs="Times New Roman"/>
          <w:color w:val="auto"/>
          <w:szCs w:val="24"/>
          <w:u w:val="single"/>
          <w:lang w:val="es-CO"/>
        </w:rPr>
        <w:t>artículo 255</w:t>
      </w:r>
      <w:r w:rsidR="002D4618">
        <w:rPr>
          <w:rFonts w:eastAsia="Times New Roman" w:cs="Times New Roman"/>
          <w:color w:val="auto"/>
          <w:szCs w:val="24"/>
          <w:u w:val="single"/>
          <w:lang w:val="es-CO"/>
        </w:rPr>
        <w:fldChar w:fldCharType="end"/>
      </w:r>
      <w:r w:rsidRPr="00C77F97">
        <w:rPr>
          <w:rFonts w:eastAsia="Times New Roman" w:cs="Times New Roman"/>
          <w:color w:val="auto"/>
          <w:szCs w:val="24"/>
          <w:lang w:val="es-CO"/>
        </w:rPr>
        <w:t> del Estatuto Tributario adicionado por el artículo 103 de la Ley 1819 de 2016 establece que: </w:t>
      </w:r>
      <w:r w:rsidRPr="00C77F97">
        <w:rPr>
          <w:rFonts w:eastAsia="Times New Roman" w:cs="Times New Roman"/>
          <w:i/>
          <w:iCs/>
          <w:color w:val="auto"/>
          <w:szCs w:val="24"/>
          <w:lang w:val="es-CO"/>
        </w:rPr>
        <w:t>“Las personas jurídicas que realicen directamente inversiones en control, conservación y mejoramiento del medio ambiente, tendrán derecho a descontar de su impuesto sobre la renta a cargo el 25% de las inversiones que hayan realizado en el respectivo año gravable, previa acreditación que efectúe la autoridad ambiental respectiva, en la cual deberá tenerse en cuenta los beneficios ambientales directos asociados a dichas inversiones. No darán derecho a descuento las inversiones realizadas por mandato de una autoridad ambiental para mitigar el impacto ambiental producido por la obra o actividad objeto de una licencia ambiental”.</w:t>
      </w:r>
    </w:p>
    <w:p w:rsidR="00C77F97" w:rsidRPr="00C77F97" w:rsidRDefault="00C77F97" w:rsidP="00C77F97">
      <w:pPr>
        <w:spacing w:line="240" w:lineRule="auto"/>
        <w:rPr>
          <w:rFonts w:eastAsia="Times New Roman" w:cs="Times New Roman"/>
          <w:color w:val="auto"/>
          <w:szCs w:val="24"/>
          <w:lang w:val="es-CO"/>
        </w:rPr>
      </w:pPr>
      <w:r w:rsidRPr="00C77F97">
        <w:rPr>
          <w:rFonts w:eastAsia="Times New Roman" w:cs="Times New Roman"/>
          <w:color w:val="auto"/>
          <w:szCs w:val="24"/>
          <w:lang w:val="es-CO"/>
        </w:rPr>
        <w:t> </w:t>
      </w:r>
    </w:p>
    <w:p w:rsidR="00C77F97" w:rsidRPr="00C77F97" w:rsidRDefault="00C77F97" w:rsidP="00C77F97">
      <w:pPr>
        <w:spacing w:line="240" w:lineRule="auto"/>
        <w:rPr>
          <w:rFonts w:eastAsia="Times New Roman" w:cs="Times New Roman"/>
          <w:color w:val="auto"/>
          <w:szCs w:val="24"/>
          <w:lang w:val="es-CO"/>
        </w:rPr>
      </w:pPr>
      <w:r w:rsidRPr="00C77F97">
        <w:rPr>
          <w:rFonts w:eastAsia="Times New Roman" w:cs="Times New Roman"/>
          <w:color w:val="auto"/>
          <w:szCs w:val="24"/>
          <w:lang w:val="es-CO"/>
        </w:rPr>
        <w:t>Que mediante el Decreto 1625 de 2016 modificado por el artículo 1° del Decreto 2205 de 2017, se reglamentó el </w:t>
      </w:r>
      <w:r w:rsidR="002D4618">
        <w:fldChar w:fldCharType="begin"/>
      </w:r>
      <w:r w:rsidR="002D4618" w:rsidRPr="002D4618">
        <w:rPr>
          <w:lang w:val="es-CO"/>
        </w:rPr>
        <w:instrText xml:space="preserve"> HYPERLINK "https://www.ceta.org.co/html/vista_de_un_articulo.asp?Norma=328" \o "Estatuto Tributario CETA" </w:instrText>
      </w:r>
      <w:r w:rsidR="002D4618">
        <w:fldChar w:fldCharType="separate"/>
      </w:r>
      <w:r w:rsidRPr="00C77F97">
        <w:rPr>
          <w:rFonts w:eastAsia="Times New Roman" w:cs="Times New Roman"/>
          <w:color w:val="auto"/>
          <w:szCs w:val="24"/>
          <w:u w:val="single"/>
          <w:lang w:val="es-CO"/>
        </w:rPr>
        <w:t>artículo 255</w:t>
      </w:r>
      <w:r w:rsidR="002D4618">
        <w:rPr>
          <w:rFonts w:eastAsia="Times New Roman" w:cs="Times New Roman"/>
          <w:color w:val="auto"/>
          <w:szCs w:val="24"/>
          <w:u w:val="single"/>
          <w:lang w:val="es-CO"/>
        </w:rPr>
        <w:fldChar w:fldCharType="end"/>
      </w:r>
      <w:r w:rsidRPr="00C77F97">
        <w:rPr>
          <w:rFonts w:eastAsia="Times New Roman" w:cs="Times New Roman"/>
          <w:color w:val="auto"/>
          <w:szCs w:val="24"/>
          <w:lang w:val="es-CO"/>
        </w:rPr>
        <w:t> del Estatuto Tributario.</w:t>
      </w:r>
    </w:p>
    <w:p w:rsidR="00C77F97" w:rsidRPr="00C77F97" w:rsidRDefault="00C77F97" w:rsidP="00C77F97">
      <w:pPr>
        <w:spacing w:line="240" w:lineRule="auto"/>
        <w:rPr>
          <w:rFonts w:eastAsia="Times New Roman" w:cs="Times New Roman"/>
          <w:color w:val="auto"/>
          <w:szCs w:val="24"/>
          <w:lang w:val="es-CO"/>
        </w:rPr>
      </w:pPr>
      <w:r w:rsidRPr="00C77F97">
        <w:rPr>
          <w:rFonts w:eastAsia="Times New Roman" w:cs="Times New Roman"/>
          <w:color w:val="auto"/>
          <w:szCs w:val="24"/>
          <w:lang w:val="es-CO"/>
        </w:rPr>
        <w:t> </w:t>
      </w:r>
    </w:p>
    <w:p w:rsidR="00C77F97" w:rsidRPr="00C77F97" w:rsidRDefault="00C77F97" w:rsidP="00C77F97">
      <w:pPr>
        <w:spacing w:line="240" w:lineRule="auto"/>
        <w:rPr>
          <w:rFonts w:eastAsia="Times New Roman" w:cs="Times New Roman"/>
          <w:color w:val="auto"/>
          <w:szCs w:val="24"/>
          <w:lang w:val="es-CO"/>
        </w:rPr>
      </w:pPr>
      <w:r w:rsidRPr="00C77F97">
        <w:rPr>
          <w:rFonts w:eastAsia="Times New Roman" w:cs="Times New Roman"/>
          <w:color w:val="auto"/>
          <w:szCs w:val="24"/>
          <w:lang w:val="es-CO"/>
        </w:rPr>
        <w:t>Que el citado Decreto en el parágrafo 1° del artículo 1.2.1.18.52 determina que el Ministerio de Ambiente y Desarrollo Sostenible establecerá la forma y requisitos para solicitar ante las autoridades ambientales competentes para la obtención de la certificación de que trata el literal d) del mencionado artículo.</w:t>
      </w:r>
    </w:p>
    <w:p w:rsidR="00C77F97" w:rsidRPr="00C77F97" w:rsidRDefault="00C77F97" w:rsidP="00C77F97">
      <w:pPr>
        <w:spacing w:line="240" w:lineRule="auto"/>
        <w:rPr>
          <w:rFonts w:eastAsia="Times New Roman" w:cs="Times New Roman"/>
          <w:color w:val="auto"/>
          <w:szCs w:val="24"/>
          <w:lang w:val="es-CO"/>
        </w:rPr>
      </w:pPr>
      <w:r w:rsidRPr="00C77F97">
        <w:rPr>
          <w:rFonts w:eastAsia="Times New Roman" w:cs="Times New Roman"/>
          <w:color w:val="auto"/>
          <w:szCs w:val="24"/>
          <w:lang w:val="es-CO"/>
        </w:rPr>
        <w:t> </w:t>
      </w:r>
    </w:p>
    <w:p w:rsidR="00C77F97" w:rsidRPr="00C77F97" w:rsidRDefault="00C77F97" w:rsidP="00C77F97">
      <w:pPr>
        <w:spacing w:line="240" w:lineRule="auto"/>
        <w:rPr>
          <w:rFonts w:eastAsia="Times New Roman" w:cs="Times New Roman"/>
          <w:color w:val="auto"/>
          <w:szCs w:val="24"/>
          <w:lang w:val="es-CO"/>
        </w:rPr>
      </w:pPr>
      <w:r w:rsidRPr="00C77F97">
        <w:rPr>
          <w:rFonts w:eastAsia="Times New Roman" w:cs="Times New Roman"/>
          <w:color w:val="auto"/>
          <w:szCs w:val="24"/>
          <w:lang w:val="es-CO"/>
        </w:rPr>
        <w:t>Que la Resolución 2000 establece la forma y requisitos para presentar ante la Autoridad Nacional de Licencias Ambientales (ANLA), las solicitudes de acreditación para obtener la exclusión del impuesto sobre las ventas de que tratan los artículos </w:t>
      </w:r>
      <w:r w:rsidR="002D4618">
        <w:fldChar w:fldCharType="begin"/>
      </w:r>
      <w:r w:rsidR="002D4618" w:rsidRPr="002D4618">
        <w:rPr>
          <w:lang w:val="es-CO"/>
        </w:rPr>
        <w:instrText xml:space="preserve"> HYPERLINK "https://www.ceta.org.co/html/vist</w:instrText>
      </w:r>
      <w:r w:rsidR="002D4618" w:rsidRPr="002D4618">
        <w:rPr>
          <w:lang w:val="es-CO"/>
        </w:rPr>
        <w:instrText xml:space="preserve">a_de_un_articulo.asp?Norma=526" \o "Estatuto Tributario CETA" </w:instrText>
      </w:r>
      <w:r w:rsidR="002D4618">
        <w:fldChar w:fldCharType="separate"/>
      </w:r>
      <w:r w:rsidRPr="00C77F97">
        <w:rPr>
          <w:rFonts w:eastAsia="Times New Roman" w:cs="Times New Roman"/>
          <w:color w:val="auto"/>
          <w:szCs w:val="24"/>
          <w:u w:val="single"/>
          <w:lang w:val="es-CO"/>
        </w:rPr>
        <w:t>424</w:t>
      </w:r>
      <w:r w:rsidR="002D4618">
        <w:rPr>
          <w:rFonts w:eastAsia="Times New Roman" w:cs="Times New Roman"/>
          <w:color w:val="auto"/>
          <w:szCs w:val="24"/>
          <w:u w:val="single"/>
          <w:lang w:val="es-CO"/>
        </w:rPr>
        <w:fldChar w:fldCharType="end"/>
      </w:r>
      <w:r w:rsidRPr="00C77F97">
        <w:rPr>
          <w:rFonts w:eastAsia="Times New Roman" w:cs="Times New Roman"/>
          <w:color w:val="auto"/>
          <w:szCs w:val="24"/>
          <w:lang w:val="es-CO"/>
        </w:rPr>
        <w:t> numeral 7 y </w:t>
      </w:r>
      <w:r w:rsidR="002D4618">
        <w:fldChar w:fldCharType="begin"/>
      </w:r>
      <w:r w:rsidR="002D4618" w:rsidRPr="002D4618">
        <w:rPr>
          <w:lang w:val="es-CO"/>
        </w:rPr>
        <w:instrText xml:space="preserve"> HYPERLINK "https://www.ceta.org.co/html/vista_de_un_articulo.asp?Norma=537" \o "Estatuto Tributario CETA" </w:instrText>
      </w:r>
      <w:r w:rsidR="002D4618">
        <w:fldChar w:fldCharType="separate"/>
      </w:r>
      <w:r w:rsidRPr="00C77F97">
        <w:rPr>
          <w:rFonts w:eastAsia="Times New Roman" w:cs="Times New Roman"/>
          <w:color w:val="auto"/>
          <w:szCs w:val="24"/>
          <w:u w:val="single"/>
          <w:lang w:val="es-CO"/>
        </w:rPr>
        <w:t>428</w:t>
      </w:r>
      <w:r w:rsidR="002D4618">
        <w:rPr>
          <w:rFonts w:eastAsia="Times New Roman" w:cs="Times New Roman"/>
          <w:color w:val="auto"/>
          <w:szCs w:val="24"/>
          <w:u w:val="single"/>
          <w:lang w:val="es-CO"/>
        </w:rPr>
        <w:fldChar w:fldCharType="end"/>
      </w:r>
      <w:r w:rsidRPr="00C77F97">
        <w:rPr>
          <w:rFonts w:eastAsia="Times New Roman" w:cs="Times New Roman"/>
          <w:color w:val="auto"/>
          <w:szCs w:val="24"/>
          <w:lang w:val="es-CO"/>
        </w:rPr>
        <w:t> literal f) del Estatuto Tributario y se dictan otras disposiciones.</w:t>
      </w:r>
    </w:p>
    <w:p w:rsidR="00C77F97" w:rsidRPr="00C77F97" w:rsidRDefault="00C77F97" w:rsidP="00C77F97">
      <w:pPr>
        <w:spacing w:line="240" w:lineRule="auto"/>
        <w:rPr>
          <w:rFonts w:eastAsia="Times New Roman" w:cs="Times New Roman"/>
          <w:color w:val="auto"/>
          <w:szCs w:val="24"/>
          <w:lang w:val="es-CO"/>
        </w:rPr>
      </w:pPr>
      <w:r w:rsidRPr="00C77F97">
        <w:rPr>
          <w:rFonts w:eastAsia="Times New Roman" w:cs="Times New Roman"/>
          <w:color w:val="auto"/>
          <w:szCs w:val="24"/>
          <w:lang w:val="es-CO"/>
        </w:rPr>
        <w:t> </w:t>
      </w:r>
    </w:p>
    <w:p w:rsidR="00C77F97" w:rsidRPr="00C77F97" w:rsidRDefault="00C77F97" w:rsidP="00C77F97">
      <w:pPr>
        <w:spacing w:line="240" w:lineRule="auto"/>
        <w:rPr>
          <w:rFonts w:eastAsia="Times New Roman" w:cs="Times New Roman"/>
          <w:color w:val="auto"/>
          <w:szCs w:val="24"/>
          <w:lang w:val="es-CO"/>
        </w:rPr>
      </w:pPr>
      <w:r w:rsidRPr="00C77F97">
        <w:rPr>
          <w:rFonts w:eastAsia="Times New Roman" w:cs="Times New Roman"/>
          <w:color w:val="auto"/>
          <w:szCs w:val="24"/>
          <w:lang w:val="es-CO"/>
        </w:rPr>
        <w:t>Que el artículo 45 de la Ley 1437 de 2011, señala que </w:t>
      </w:r>
      <w:r w:rsidRPr="00C77F97">
        <w:rPr>
          <w:rFonts w:eastAsia="Times New Roman" w:cs="Times New Roman"/>
          <w:i/>
          <w:iCs/>
          <w:color w:val="auto"/>
          <w:szCs w:val="24"/>
          <w:lang w:val="es-CO"/>
        </w:rPr>
        <w:t>“En cualquier tiempo, de oficio o a petición de parte, se podrán corregir los errores simplemente formales contenidos en los actos administrativos, ya sean aritméticos, de digitación, de transcripción o de omisión de palabras. En ningún caso la corrección dará lugar a cambios en el sentido material de la decisión, ni revivirá los términos legales para demandar el acto. Realizada la corrección, esta deberá ser notificada o comunicada a todos los interesados, según corresponda”.</w:t>
      </w:r>
    </w:p>
    <w:p w:rsidR="00C77F97" w:rsidRPr="00C77F97" w:rsidRDefault="00C77F97" w:rsidP="00C77F97">
      <w:pPr>
        <w:spacing w:line="240" w:lineRule="auto"/>
        <w:rPr>
          <w:rFonts w:eastAsia="Times New Roman" w:cs="Times New Roman"/>
          <w:color w:val="auto"/>
          <w:szCs w:val="24"/>
          <w:lang w:val="es-CO"/>
        </w:rPr>
      </w:pPr>
      <w:r w:rsidRPr="00C77F97">
        <w:rPr>
          <w:rFonts w:eastAsia="Times New Roman" w:cs="Times New Roman"/>
          <w:color w:val="auto"/>
          <w:szCs w:val="24"/>
          <w:lang w:val="es-CO"/>
        </w:rPr>
        <w:t> </w:t>
      </w:r>
    </w:p>
    <w:p w:rsidR="00C77F97" w:rsidRPr="00C77F97" w:rsidRDefault="00C77F97" w:rsidP="00C77F97">
      <w:pPr>
        <w:spacing w:line="240" w:lineRule="auto"/>
        <w:rPr>
          <w:rFonts w:eastAsia="Times New Roman" w:cs="Times New Roman"/>
          <w:color w:val="auto"/>
          <w:szCs w:val="24"/>
          <w:lang w:val="es-CO"/>
        </w:rPr>
      </w:pPr>
      <w:r w:rsidRPr="00C77F97">
        <w:rPr>
          <w:rFonts w:eastAsia="Times New Roman" w:cs="Times New Roman"/>
          <w:color w:val="auto"/>
          <w:szCs w:val="24"/>
          <w:lang w:val="es-CO"/>
        </w:rPr>
        <w:t>Que además es necesario hacer una serie de precisiones formales a la Resolución 2000 de 2017 del Ministerio de Ambiente y Desarrollo Sostenible, relacionadas con errores de transcripción.</w:t>
      </w:r>
    </w:p>
    <w:p w:rsidR="00C77F97" w:rsidRPr="00C77F97" w:rsidRDefault="00C77F97" w:rsidP="00C77F97">
      <w:pPr>
        <w:spacing w:line="240" w:lineRule="auto"/>
        <w:rPr>
          <w:rFonts w:eastAsia="Times New Roman" w:cs="Times New Roman"/>
          <w:color w:val="auto"/>
          <w:szCs w:val="24"/>
          <w:lang w:val="es-CO"/>
        </w:rPr>
      </w:pPr>
      <w:r w:rsidRPr="00C77F97">
        <w:rPr>
          <w:rFonts w:eastAsia="Times New Roman" w:cs="Times New Roman"/>
          <w:color w:val="auto"/>
          <w:szCs w:val="24"/>
          <w:lang w:val="es-CO"/>
        </w:rPr>
        <w:t> </w:t>
      </w:r>
    </w:p>
    <w:p w:rsidR="00C77F97" w:rsidRPr="00C77F97" w:rsidRDefault="00C77F97" w:rsidP="00C77F97">
      <w:pPr>
        <w:spacing w:line="240" w:lineRule="auto"/>
        <w:rPr>
          <w:rFonts w:eastAsia="Times New Roman" w:cs="Times New Roman"/>
          <w:color w:val="auto"/>
          <w:szCs w:val="24"/>
          <w:lang w:val="es-CO"/>
        </w:rPr>
      </w:pPr>
      <w:proofErr w:type="gramStart"/>
      <w:r w:rsidRPr="00C77F97">
        <w:rPr>
          <w:rFonts w:eastAsia="Times New Roman" w:cs="Times New Roman"/>
          <w:color w:val="auto"/>
          <w:szCs w:val="24"/>
          <w:lang w:val="es-CO"/>
        </w:rPr>
        <w:t>Que</w:t>
      </w:r>
      <w:proofErr w:type="gramEnd"/>
      <w:r w:rsidRPr="00C77F97">
        <w:rPr>
          <w:rFonts w:eastAsia="Times New Roman" w:cs="Times New Roman"/>
          <w:color w:val="auto"/>
          <w:szCs w:val="24"/>
          <w:lang w:val="es-CO"/>
        </w:rPr>
        <w:t xml:space="preserve"> en mérito de lo expuesto,</w:t>
      </w:r>
    </w:p>
    <w:p w:rsidR="00C77F97" w:rsidRPr="00C77F97" w:rsidRDefault="00C77F97" w:rsidP="00C77F97">
      <w:pPr>
        <w:spacing w:line="240" w:lineRule="auto"/>
        <w:jc w:val="center"/>
        <w:rPr>
          <w:rFonts w:eastAsia="Times New Roman" w:cs="Times New Roman"/>
          <w:color w:val="auto"/>
          <w:szCs w:val="24"/>
          <w:lang w:val="es-CO"/>
        </w:rPr>
      </w:pPr>
      <w:r w:rsidRPr="00C77F97">
        <w:rPr>
          <w:rFonts w:eastAsia="Times New Roman" w:cs="Times New Roman"/>
          <w:color w:val="auto"/>
          <w:szCs w:val="24"/>
          <w:lang w:val="es-CO"/>
        </w:rPr>
        <w:t> </w:t>
      </w:r>
    </w:p>
    <w:p w:rsidR="00C77F97" w:rsidRPr="00C77F97" w:rsidRDefault="00C77F97" w:rsidP="00C77F97">
      <w:pPr>
        <w:spacing w:line="240" w:lineRule="auto"/>
        <w:jc w:val="center"/>
        <w:rPr>
          <w:rFonts w:eastAsia="Times New Roman" w:cs="Times New Roman"/>
          <w:color w:val="auto"/>
          <w:szCs w:val="24"/>
          <w:lang w:val="es-CO"/>
        </w:rPr>
      </w:pPr>
      <w:r w:rsidRPr="00C77F97">
        <w:rPr>
          <w:rFonts w:eastAsia="Times New Roman" w:cs="Times New Roman"/>
          <w:color w:val="auto"/>
          <w:szCs w:val="24"/>
          <w:lang w:val="es-CO"/>
        </w:rPr>
        <w:t> </w:t>
      </w:r>
    </w:p>
    <w:p w:rsidR="00C77F97" w:rsidRPr="00C77F97" w:rsidRDefault="00C77F97" w:rsidP="00C77F97">
      <w:pPr>
        <w:spacing w:line="240" w:lineRule="auto"/>
        <w:jc w:val="center"/>
        <w:rPr>
          <w:rFonts w:eastAsia="Times New Roman" w:cs="Times New Roman"/>
          <w:color w:val="auto"/>
          <w:szCs w:val="24"/>
          <w:lang w:val="es-CO"/>
        </w:rPr>
      </w:pPr>
      <w:r w:rsidRPr="00C77F97">
        <w:rPr>
          <w:rFonts w:eastAsia="Times New Roman" w:cs="Times New Roman"/>
          <w:b/>
          <w:bCs/>
          <w:color w:val="auto"/>
          <w:szCs w:val="24"/>
          <w:lang w:val="es-CO"/>
        </w:rPr>
        <w:t>RESUELVE:</w:t>
      </w:r>
    </w:p>
    <w:p w:rsidR="00C77F97" w:rsidRPr="00C77F97" w:rsidRDefault="00C77F97" w:rsidP="00C77F97">
      <w:pPr>
        <w:spacing w:line="240" w:lineRule="auto"/>
        <w:rPr>
          <w:rFonts w:eastAsia="Times New Roman" w:cs="Times New Roman"/>
          <w:color w:val="auto"/>
          <w:szCs w:val="24"/>
          <w:lang w:val="es-CO"/>
        </w:rPr>
      </w:pPr>
      <w:r w:rsidRPr="00C77F97">
        <w:rPr>
          <w:rFonts w:eastAsia="Times New Roman" w:cs="Times New Roman"/>
          <w:b/>
          <w:bCs/>
          <w:color w:val="auto"/>
          <w:szCs w:val="24"/>
          <w:lang w:val="es-CO"/>
        </w:rPr>
        <w:t> </w:t>
      </w:r>
    </w:p>
    <w:p w:rsidR="00C77F97" w:rsidRPr="00C77F97" w:rsidRDefault="00C77F97" w:rsidP="00C77F97">
      <w:pPr>
        <w:spacing w:line="240" w:lineRule="auto"/>
        <w:rPr>
          <w:rFonts w:eastAsia="Times New Roman" w:cs="Times New Roman"/>
          <w:b/>
          <w:color w:val="auto"/>
          <w:szCs w:val="24"/>
          <w:lang w:val="es-CO"/>
        </w:rPr>
      </w:pPr>
      <w:r w:rsidRPr="00C77F97">
        <w:rPr>
          <w:rFonts w:eastAsia="Times New Roman" w:cs="Times New Roman"/>
          <w:b/>
          <w:bCs/>
          <w:color w:val="auto"/>
          <w:szCs w:val="24"/>
          <w:lang w:val="es-CO"/>
        </w:rPr>
        <w:lastRenderedPageBreak/>
        <w:t>Artículo 1°.</w:t>
      </w:r>
      <w:r w:rsidRPr="00C77F97">
        <w:rPr>
          <w:rFonts w:eastAsia="Times New Roman" w:cs="Times New Roman"/>
          <w:color w:val="auto"/>
          <w:szCs w:val="24"/>
          <w:lang w:val="es-CO"/>
        </w:rPr>
        <w:t> </w:t>
      </w:r>
      <w:r w:rsidRPr="00C77F97">
        <w:rPr>
          <w:rFonts w:eastAsia="Times New Roman" w:cs="Times New Roman"/>
          <w:i/>
          <w:iCs/>
          <w:color w:val="auto"/>
          <w:szCs w:val="24"/>
          <w:lang w:val="es-CO"/>
        </w:rPr>
        <w:t>Objeto</w:t>
      </w:r>
      <w:r w:rsidRPr="00C77F97">
        <w:rPr>
          <w:rFonts w:eastAsia="Times New Roman" w:cs="Times New Roman"/>
          <w:color w:val="auto"/>
          <w:szCs w:val="24"/>
          <w:lang w:val="es-CO"/>
        </w:rPr>
        <w:t xml:space="preserve">. </w:t>
      </w:r>
      <w:r w:rsidRPr="00C77F97">
        <w:rPr>
          <w:rFonts w:eastAsia="Times New Roman" w:cs="Times New Roman"/>
          <w:b/>
          <w:color w:val="auto"/>
          <w:szCs w:val="24"/>
          <w:lang w:val="es-CO"/>
        </w:rPr>
        <w:t>La presente resolución tiene por objetivo establecer la forma y requisitos para solicitar ante las autoridades ambientales competentes la acreditación o certificación de las inversiones de control del medio ambiente y conservación y mejoramiento del medio ambiente para obtener el descuento de Impuesto de Renta de que trata el </w:t>
      </w:r>
      <w:r w:rsidR="002D4618">
        <w:fldChar w:fldCharType="begin"/>
      </w:r>
      <w:r w:rsidR="002D4618" w:rsidRPr="002D4618">
        <w:rPr>
          <w:lang w:val="es-CO"/>
        </w:rPr>
        <w:instrText xml:space="preserve"> HYPERLINK "https://www.ceta.org.co/html/vista_de_un_articulo.asp?Norma=328" \o "Estatuto Tributario CETA" </w:instrText>
      </w:r>
      <w:r w:rsidR="002D4618">
        <w:fldChar w:fldCharType="separate"/>
      </w:r>
      <w:r w:rsidRPr="00C77F97">
        <w:rPr>
          <w:rFonts w:eastAsia="Times New Roman" w:cs="Times New Roman"/>
          <w:b/>
          <w:color w:val="auto"/>
          <w:szCs w:val="24"/>
          <w:u w:val="single"/>
          <w:lang w:val="es-CO"/>
        </w:rPr>
        <w:t>artículo 255</w:t>
      </w:r>
      <w:r w:rsidR="002D4618">
        <w:rPr>
          <w:rFonts w:eastAsia="Times New Roman" w:cs="Times New Roman"/>
          <w:b/>
          <w:color w:val="auto"/>
          <w:szCs w:val="24"/>
          <w:u w:val="single"/>
          <w:lang w:val="es-CO"/>
        </w:rPr>
        <w:fldChar w:fldCharType="end"/>
      </w:r>
      <w:r w:rsidRPr="00C77F97">
        <w:rPr>
          <w:rFonts w:eastAsia="Times New Roman" w:cs="Times New Roman"/>
          <w:b/>
          <w:color w:val="auto"/>
          <w:szCs w:val="24"/>
          <w:lang w:val="es-CO"/>
        </w:rPr>
        <w:t> del Estatuto Tributario.</w:t>
      </w:r>
    </w:p>
    <w:p w:rsidR="00C77F97" w:rsidRPr="00C77F97" w:rsidRDefault="00C77F97" w:rsidP="00C77F97">
      <w:pPr>
        <w:spacing w:line="240" w:lineRule="auto"/>
        <w:rPr>
          <w:rFonts w:eastAsia="Times New Roman" w:cs="Times New Roman"/>
          <w:color w:val="auto"/>
          <w:szCs w:val="24"/>
          <w:lang w:val="es-CO"/>
        </w:rPr>
      </w:pPr>
      <w:r w:rsidRPr="00C77F97">
        <w:rPr>
          <w:rFonts w:eastAsia="Times New Roman" w:cs="Times New Roman"/>
          <w:color w:val="auto"/>
          <w:szCs w:val="24"/>
          <w:lang w:val="es-CO"/>
        </w:rPr>
        <w:t> </w:t>
      </w:r>
    </w:p>
    <w:p w:rsidR="00C77F97" w:rsidRPr="00C77F97" w:rsidRDefault="00C77F97" w:rsidP="00C77F97">
      <w:pPr>
        <w:spacing w:line="240" w:lineRule="auto"/>
        <w:rPr>
          <w:rFonts w:eastAsia="Times New Roman" w:cs="Times New Roman"/>
          <w:color w:val="auto"/>
          <w:szCs w:val="24"/>
          <w:lang w:val="es-CO"/>
        </w:rPr>
      </w:pPr>
      <w:r w:rsidRPr="00C77F97">
        <w:rPr>
          <w:rFonts w:eastAsia="Times New Roman" w:cs="Times New Roman"/>
          <w:b/>
          <w:bCs/>
          <w:color w:val="auto"/>
          <w:szCs w:val="24"/>
          <w:lang w:val="es-CO"/>
        </w:rPr>
        <w:t>Artículo 2°.</w:t>
      </w:r>
      <w:r w:rsidRPr="00C77F97">
        <w:rPr>
          <w:rFonts w:eastAsia="Times New Roman" w:cs="Times New Roman"/>
          <w:color w:val="auto"/>
          <w:szCs w:val="24"/>
          <w:lang w:val="es-CO"/>
        </w:rPr>
        <w:t> </w:t>
      </w:r>
      <w:r w:rsidRPr="00C77F97">
        <w:rPr>
          <w:rFonts w:eastAsia="Times New Roman" w:cs="Times New Roman"/>
          <w:i/>
          <w:iCs/>
          <w:color w:val="auto"/>
          <w:szCs w:val="24"/>
          <w:lang w:val="es-CO"/>
        </w:rPr>
        <w:t>Ámbito de aplicación.</w:t>
      </w:r>
      <w:r w:rsidRPr="00C77F97">
        <w:rPr>
          <w:rFonts w:eastAsia="Times New Roman" w:cs="Times New Roman"/>
          <w:color w:val="auto"/>
          <w:szCs w:val="24"/>
          <w:lang w:val="es-CO"/>
        </w:rPr>
        <w:t> El presente acto administrativo será aplicable al descuento del Impuesto de Renta de que trata el </w:t>
      </w:r>
      <w:r w:rsidR="002D4618">
        <w:fldChar w:fldCharType="begin"/>
      </w:r>
      <w:r w:rsidR="002D4618" w:rsidRPr="002D4618">
        <w:rPr>
          <w:lang w:val="es-CO"/>
        </w:rPr>
        <w:instrText xml:space="preserve"> HYPERLINK "https://www.ceta.org.co/html/vista_de_un_articulo.asp?Norma=328" \o "Estatuto Tributario CETA" </w:instrText>
      </w:r>
      <w:r w:rsidR="002D4618">
        <w:fldChar w:fldCharType="separate"/>
      </w:r>
      <w:r w:rsidRPr="00C77F97">
        <w:rPr>
          <w:rFonts w:eastAsia="Times New Roman" w:cs="Times New Roman"/>
          <w:color w:val="auto"/>
          <w:szCs w:val="24"/>
          <w:u w:val="single"/>
          <w:lang w:val="es-CO"/>
        </w:rPr>
        <w:t>artículo 255</w:t>
      </w:r>
      <w:r w:rsidR="002D4618">
        <w:rPr>
          <w:rFonts w:eastAsia="Times New Roman" w:cs="Times New Roman"/>
          <w:color w:val="auto"/>
          <w:szCs w:val="24"/>
          <w:u w:val="single"/>
          <w:lang w:val="es-CO"/>
        </w:rPr>
        <w:fldChar w:fldCharType="end"/>
      </w:r>
      <w:r w:rsidRPr="00C77F97">
        <w:rPr>
          <w:rFonts w:eastAsia="Times New Roman" w:cs="Times New Roman"/>
          <w:color w:val="auto"/>
          <w:szCs w:val="24"/>
          <w:lang w:val="es-CO"/>
        </w:rPr>
        <w:t xml:space="preserve"> del Estatuto Tributario para las personas jurídicas que realicen inversiones en control, conservación y mejoramiento del ambiente, </w:t>
      </w:r>
      <w:r w:rsidRPr="002D4618">
        <w:rPr>
          <w:rFonts w:eastAsia="Times New Roman" w:cs="Times New Roman"/>
          <w:color w:val="auto"/>
          <w:szCs w:val="24"/>
          <w:highlight w:val="green"/>
          <w:lang w:val="es-CO"/>
        </w:rPr>
        <w:t>exceptuando las que por mandato de una licencia ambiental se lleven a cabo.</w:t>
      </w:r>
    </w:p>
    <w:p w:rsidR="00C77F97" w:rsidRPr="00C77F97" w:rsidRDefault="00C77F97" w:rsidP="00C77F97">
      <w:pPr>
        <w:spacing w:line="240" w:lineRule="auto"/>
        <w:rPr>
          <w:rFonts w:eastAsia="Times New Roman" w:cs="Times New Roman"/>
          <w:color w:val="auto"/>
          <w:szCs w:val="24"/>
          <w:lang w:val="es-CO"/>
        </w:rPr>
      </w:pPr>
      <w:r w:rsidRPr="00C77F97">
        <w:rPr>
          <w:rFonts w:eastAsia="Times New Roman" w:cs="Times New Roman"/>
          <w:color w:val="auto"/>
          <w:szCs w:val="24"/>
          <w:lang w:val="es-CO"/>
        </w:rPr>
        <w:t> </w:t>
      </w:r>
    </w:p>
    <w:p w:rsidR="00C77F97" w:rsidRPr="00C77F97" w:rsidRDefault="00C77F97" w:rsidP="00C77F97">
      <w:pPr>
        <w:spacing w:line="240" w:lineRule="auto"/>
        <w:rPr>
          <w:rFonts w:eastAsia="Times New Roman" w:cs="Times New Roman"/>
          <w:color w:val="auto"/>
          <w:szCs w:val="24"/>
          <w:lang w:val="es-CO"/>
        </w:rPr>
      </w:pPr>
      <w:r w:rsidRPr="00C77F97">
        <w:rPr>
          <w:rFonts w:eastAsia="Times New Roman" w:cs="Times New Roman"/>
          <w:b/>
          <w:bCs/>
          <w:color w:val="auto"/>
          <w:szCs w:val="24"/>
          <w:lang w:val="es-CO"/>
        </w:rPr>
        <w:t>Artículo 3°.</w:t>
      </w:r>
      <w:r w:rsidRPr="00C77F97">
        <w:rPr>
          <w:rFonts w:eastAsia="Times New Roman" w:cs="Times New Roman"/>
          <w:color w:val="auto"/>
          <w:szCs w:val="24"/>
          <w:lang w:val="es-CO"/>
        </w:rPr>
        <w:t> </w:t>
      </w:r>
      <w:r w:rsidRPr="00C77F97">
        <w:rPr>
          <w:rFonts w:eastAsia="Times New Roman" w:cs="Times New Roman"/>
          <w:i/>
          <w:iCs/>
          <w:color w:val="auto"/>
          <w:szCs w:val="24"/>
          <w:lang w:val="es-CO"/>
        </w:rPr>
        <w:t>Requisitos de la solicitud de acreditación de las inversiones para el control del medio ambiente o conservación y mejoramiento del medio ambiente. </w:t>
      </w:r>
      <w:r w:rsidRPr="00C77F97">
        <w:rPr>
          <w:rFonts w:eastAsia="Times New Roman" w:cs="Times New Roman"/>
          <w:color w:val="auto"/>
          <w:szCs w:val="24"/>
          <w:lang w:val="es-CO"/>
        </w:rPr>
        <w:t>La solicitud de acreditación de inversión en control del medio ambiente o conservación y mejoramiento del medio ambiente debe ser presentada ante la autoridad ambiental competente, por la persona jurídica contribuyente que realice la inversión respectiva. Dicha solicitud debe cumplir los siguientes requisitos:</w:t>
      </w:r>
    </w:p>
    <w:p w:rsidR="00C77F97" w:rsidRPr="00C77F97" w:rsidRDefault="00C77F97" w:rsidP="00C77F97">
      <w:pPr>
        <w:spacing w:line="240" w:lineRule="auto"/>
        <w:rPr>
          <w:rFonts w:eastAsia="Times New Roman" w:cs="Times New Roman"/>
          <w:color w:val="auto"/>
          <w:szCs w:val="24"/>
          <w:lang w:val="es-CO"/>
        </w:rPr>
      </w:pPr>
      <w:r w:rsidRPr="00C77F97">
        <w:rPr>
          <w:rFonts w:eastAsia="Times New Roman" w:cs="Times New Roman"/>
          <w:color w:val="auto"/>
          <w:szCs w:val="24"/>
          <w:lang w:val="es-CO"/>
        </w:rPr>
        <w:t> </w:t>
      </w:r>
    </w:p>
    <w:p w:rsidR="00C77F97" w:rsidRPr="00C77F97" w:rsidRDefault="00C77F97" w:rsidP="00C77F97">
      <w:pPr>
        <w:spacing w:line="240" w:lineRule="auto"/>
        <w:rPr>
          <w:rFonts w:eastAsia="Times New Roman" w:cs="Times New Roman"/>
          <w:color w:val="auto"/>
          <w:szCs w:val="24"/>
          <w:lang w:val="es-CO"/>
        </w:rPr>
      </w:pPr>
      <w:r w:rsidRPr="00C77F97">
        <w:rPr>
          <w:rFonts w:eastAsia="Times New Roman" w:cs="Times New Roman"/>
          <w:color w:val="auto"/>
          <w:szCs w:val="24"/>
          <w:lang w:val="es-CO"/>
        </w:rPr>
        <w:t>1. Allegar el formato único de solicitud firmado por el representante legal, adjunto a la presente resolución.</w:t>
      </w:r>
    </w:p>
    <w:p w:rsidR="00C77F97" w:rsidRDefault="00C77F97" w:rsidP="00C77F97">
      <w:pPr>
        <w:spacing w:line="240" w:lineRule="auto"/>
        <w:rPr>
          <w:rFonts w:eastAsia="Times New Roman" w:cs="Times New Roman"/>
          <w:color w:val="auto"/>
          <w:szCs w:val="24"/>
          <w:lang w:val="es-CO"/>
        </w:rPr>
      </w:pPr>
    </w:p>
    <w:p w:rsidR="00C77F97" w:rsidRPr="00C77F97" w:rsidRDefault="00C77F97" w:rsidP="00C77F97">
      <w:pPr>
        <w:spacing w:line="240" w:lineRule="auto"/>
        <w:rPr>
          <w:rFonts w:eastAsia="Times New Roman" w:cs="Times New Roman"/>
          <w:color w:val="auto"/>
          <w:szCs w:val="24"/>
          <w:lang w:val="es-CO"/>
        </w:rPr>
      </w:pPr>
      <w:r w:rsidRPr="00C77F97">
        <w:rPr>
          <w:rFonts w:eastAsia="Times New Roman" w:cs="Times New Roman"/>
          <w:color w:val="auto"/>
          <w:szCs w:val="24"/>
          <w:lang w:val="es-CO"/>
        </w:rPr>
        <w:t>2. Señalar bajo la gravedad del juramento que se entiende prestado con la presentación de la solicitud, que la inversión no se realiza por mandato de una autoridad ambiental para mitigar el impacto ambiental producido por la obra o actividad objeto de una licencia ambiental y que la misma no involucra inversiones respecto de las cuales, de acuerdo con el artículo 1.2.1.18.54 del Decreto 1625 de 2016, no otorgan derecho al descuento.</w:t>
      </w:r>
    </w:p>
    <w:p w:rsidR="00C77F97" w:rsidRDefault="00C77F97" w:rsidP="00C77F97">
      <w:pPr>
        <w:spacing w:line="240" w:lineRule="auto"/>
        <w:rPr>
          <w:rFonts w:eastAsia="Times New Roman" w:cs="Times New Roman"/>
          <w:color w:val="auto"/>
          <w:szCs w:val="24"/>
          <w:lang w:val="es-CO"/>
        </w:rPr>
      </w:pPr>
    </w:p>
    <w:p w:rsidR="00C77F97" w:rsidRPr="00C77F97" w:rsidRDefault="00C77F97" w:rsidP="00C77F97">
      <w:pPr>
        <w:spacing w:line="240" w:lineRule="auto"/>
        <w:rPr>
          <w:rFonts w:eastAsia="Times New Roman" w:cs="Times New Roman"/>
          <w:color w:val="auto"/>
          <w:szCs w:val="24"/>
          <w:lang w:val="es-CO"/>
        </w:rPr>
      </w:pPr>
      <w:r w:rsidRPr="00C77F97">
        <w:rPr>
          <w:rFonts w:eastAsia="Times New Roman" w:cs="Times New Roman"/>
          <w:color w:val="auto"/>
          <w:szCs w:val="24"/>
          <w:lang w:val="es-CO"/>
        </w:rPr>
        <w:t>3. Descripción detallada de la inversión en control del medio de ambiente o, conservación y mejoramiento del medio ambiente, para lo cual se debe indicar lo siguiente:</w:t>
      </w:r>
    </w:p>
    <w:p w:rsidR="00C77F97" w:rsidRPr="00C77F97" w:rsidRDefault="00C77F97" w:rsidP="00C77F97">
      <w:pPr>
        <w:spacing w:line="240" w:lineRule="auto"/>
        <w:rPr>
          <w:rFonts w:eastAsia="Times New Roman" w:cs="Times New Roman"/>
          <w:color w:val="auto"/>
          <w:szCs w:val="24"/>
          <w:lang w:val="es-CO"/>
        </w:rPr>
      </w:pPr>
      <w:r w:rsidRPr="00C77F97">
        <w:rPr>
          <w:rFonts w:eastAsia="Times New Roman" w:cs="Times New Roman"/>
          <w:color w:val="auto"/>
          <w:szCs w:val="24"/>
          <w:lang w:val="es-CO"/>
        </w:rPr>
        <w:t> </w:t>
      </w:r>
    </w:p>
    <w:p w:rsidR="00C77F97" w:rsidRPr="00C77F97" w:rsidRDefault="00C77F97" w:rsidP="00C77F97">
      <w:pPr>
        <w:spacing w:line="240" w:lineRule="auto"/>
        <w:rPr>
          <w:rFonts w:eastAsia="Times New Roman" w:cs="Times New Roman"/>
          <w:color w:val="auto"/>
          <w:szCs w:val="24"/>
          <w:lang w:val="es-CO"/>
        </w:rPr>
      </w:pPr>
      <w:r w:rsidRPr="00C77F97">
        <w:rPr>
          <w:rFonts w:eastAsia="Times New Roman" w:cs="Times New Roman"/>
          <w:color w:val="auto"/>
          <w:szCs w:val="24"/>
          <w:lang w:val="es-CO"/>
        </w:rPr>
        <w:t>3.1. Objeto y finalidad de la inversión en control del medio ambiente o conservación y mejoramiento del medio ambiente.</w:t>
      </w:r>
    </w:p>
    <w:p w:rsidR="00C77F97" w:rsidRDefault="00C77F97" w:rsidP="00C77F97">
      <w:pPr>
        <w:spacing w:line="240" w:lineRule="auto"/>
        <w:rPr>
          <w:rFonts w:eastAsia="Times New Roman" w:cs="Times New Roman"/>
          <w:color w:val="auto"/>
          <w:szCs w:val="24"/>
          <w:lang w:val="es-CO"/>
        </w:rPr>
      </w:pPr>
    </w:p>
    <w:p w:rsidR="00C77F97" w:rsidRPr="00C77F97" w:rsidRDefault="00C77F97" w:rsidP="00C77F97">
      <w:pPr>
        <w:spacing w:line="240" w:lineRule="auto"/>
        <w:rPr>
          <w:rFonts w:eastAsia="Times New Roman" w:cs="Times New Roman"/>
          <w:color w:val="auto"/>
          <w:szCs w:val="24"/>
          <w:lang w:val="es-CO"/>
        </w:rPr>
      </w:pPr>
      <w:r w:rsidRPr="00C77F97">
        <w:rPr>
          <w:rFonts w:eastAsia="Times New Roman" w:cs="Times New Roman"/>
          <w:color w:val="auto"/>
          <w:szCs w:val="24"/>
          <w:lang w:val="es-CO"/>
        </w:rPr>
        <w:t>3.2. Describir en qué consiste la inversión en control del medio ambiente o conservación y mejoramiento del medio ambiente de acuerdo con las definiciones previstas en el artículo 1.2.1.18.51. del Decreto 1625 de 2016.</w:t>
      </w:r>
    </w:p>
    <w:p w:rsidR="00C77F97" w:rsidRDefault="00C77F97" w:rsidP="00C77F97">
      <w:pPr>
        <w:spacing w:line="240" w:lineRule="auto"/>
        <w:rPr>
          <w:rFonts w:eastAsia="Times New Roman" w:cs="Times New Roman"/>
          <w:color w:val="auto"/>
          <w:szCs w:val="24"/>
          <w:lang w:val="es-CO"/>
        </w:rPr>
      </w:pPr>
    </w:p>
    <w:p w:rsidR="00C77F97" w:rsidRPr="00C77F97" w:rsidRDefault="00C77F97" w:rsidP="00C77F97">
      <w:pPr>
        <w:spacing w:line="240" w:lineRule="auto"/>
        <w:rPr>
          <w:rFonts w:eastAsia="Times New Roman" w:cs="Times New Roman"/>
          <w:color w:val="auto"/>
          <w:szCs w:val="24"/>
          <w:lang w:val="es-CO"/>
        </w:rPr>
      </w:pPr>
      <w:r w:rsidRPr="00C77F97">
        <w:rPr>
          <w:rFonts w:eastAsia="Times New Roman" w:cs="Times New Roman"/>
          <w:color w:val="auto"/>
          <w:szCs w:val="24"/>
          <w:lang w:val="es-CO"/>
        </w:rPr>
        <w:t>3.3. Rubro de la inversión en control del medio ambiente o conservación y mejoramiento del medio ambiente de acuerdo con lo previsto en el artículo 1.2.1.18.53. del Decreto 1625 de 2016.</w:t>
      </w:r>
    </w:p>
    <w:p w:rsidR="00C77F97" w:rsidRDefault="00C77F97" w:rsidP="00C77F97">
      <w:pPr>
        <w:spacing w:line="240" w:lineRule="auto"/>
        <w:rPr>
          <w:rFonts w:eastAsia="Times New Roman" w:cs="Times New Roman"/>
          <w:color w:val="auto"/>
          <w:szCs w:val="24"/>
          <w:lang w:val="es-CO"/>
        </w:rPr>
      </w:pPr>
    </w:p>
    <w:p w:rsidR="00C77F97" w:rsidRPr="00C77F97" w:rsidRDefault="00C77F97" w:rsidP="00C77F97">
      <w:pPr>
        <w:spacing w:line="240" w:lineRule="auto"/>
        <w:rPr>
          <w:rFonts w:eastAsia="Times New Roman" w:cs="Times New Roman"/>
          <w:color w:val="auto"/>
          <w:szCs w:val="24"/>
          <w:lang w:val="es-CO"/>
        </w:rPr>
      </w:pPr>
      <w:r w:rsidRPr="00C77F97">
        <w:rPr>
          <w:rFonts w:eastAsia="Times New Roman" w:cs="Times New Roman"/>
          <w:color w:val="auto"/>
          <w:szCs w:val="24"/>
          <w:lang w:val="es-CO"/>
        </w:rPr>
        <w:t>3.4. Ubicación geográfica de la inversión indicando la dirección y coordenadas de acuerdo con el sistema MAGNA SIRGAS, en el caso que se requiera.</w:t>
      </w:r>
    </w:p>
    <w:p w:rsidR="00C77F97" w:rsidRDefault="00C77F97" w:rsidP="00C77F97">
      <w:pPr>
        <w:spacing w:line="240" w:lineRule="auto"/>
        <w:rPr>
          <w:rFonts w:eastAsia="Times New Roman" w:cs="Times New Roman"/>
          <w:color w:val="auto"/>
          <w:szCs w:val="24"/>
          <w:lang w:val="es-CO"/>
        </w:rPr>
      </w:pPr>
    </w:p>
    <w:p w:rsidR="00C77F97" w:rsidRPr="00C77F97" w:rsidRDefault="00C77F97" w:rsidP="00C77F97">
      <w:pPr>
        <w:spacing w:line="240" w:lineRule="auto"/>
        <w:rPr>
          <w:rFonts w:eastAsia="Times New Roman" w:cs="Times New Roman"/>
          <w:color w:val="auto"/>
          <w:szCs w:val="24"/>
          <w:lang w:val="es-CO"/>
        </w:rPr>
      </w:pPr>
      <w:r w:rsidRPr="00C77F97">
        <w:rPr>
          <w:rFonts w:eastAsia="Times New Roman" w:cs="Times New Roman"/>
          <w:color w:val="auto"/>
          <w:szCs w:val="24"/>
          <w:lang w:val="es-CO"/>
        </w:rPr>
        <w:t>3.5. Estado de ejecución de la inversión. En el caso en que la inversión ya se haya realizado, se deberá indicar la fecha y año de ejecución, los componentes, actividades y/u obras de la inversión, valor de la misma, y se deberán presentar los documentos que evidencien la finalización de la obra</w:t>
      </w:r>
    </w:p>
    <w:p w:rsidR="00C77F97" w:rsidRPr="00C77F97" w:rsidRDefault="00C77F97" w:rsidP="00C77F97">
      <w:pPr>
        <w:spacing w:line="240" w:lineRule="auto"/>
        <w:rPr>
          <w:rFonts w:eastAsia="Times New Roman" w:cs="Times New Roman"/>
          <w:color w:val="auto"/>
          <w:szCs w:val="24"/>
          <w:lang w:val="es-CO"/>
        </w:rPr>
      </w:pPr>
      <w:r w:rsidRPr="00C77F97">
        <w:rPr>
          <w:rFonts w:eastAsia="Times New Roman" w:cs="Times New Roman"/>
          <w:color w:val="auto"/>
          <w:szCs w:val="24"/>
          <w:lang w:val="es-CO"/>
        </w:rPr>
        <w:t> </w:t>
      </w:r>
    </w:p>
    <w:p w:rsidR="00C77F97" w:rsidRPr="00C77F97" w:rsidRDefault="00C77F97" w:rsidP="00C77F97">
      <w:pPr>
        <w:spacing w:line="240" w:lineRule="auto"/>
        <w:rPr>
          <w:rFonts w:eastAsia="Times New Roman" w:cs="Times New Roman"/>
          <w:color w:val="auto"/>
          <w:szCs w:val="24"/>
          <w:lang w:val="es-CO"/>
        </w:rPr>
      </w:pPr>
      <w:r w:rsidRPr="00C77F97">
        <w:rPr>
          <w:rFonts w:eastAsia="Times New Roman" w:cs="Times New Roman"/>
          <w:color w:val="auto"/>
          <w:szCs w:val="24"/>
          <w:lang w:val="es-CO"/>
        </w:rPr>
        <w:t>Cuando se trate de un proyecto de inversión que se realizará por etapas, se deberán describir dichas fases o etapas, el tiempo de ejecución, las inversiones que contempla cada una de ellas y el valor de las inversiones.</w:t>
      </w:r>
    </w:p>
    <w:p w:rsidR="00C77F97" w:rsidRPr="00C77F97" w:rsidRDefault="00C77F97" w:rsidP="00C77F97">
      <w:pPr>
        <w:spacing w:line="240" w:lineRule="auto"/>
        <w:rPr>
          <w:rFonts w:eastAsia="Times New Roman" w:cs="Times New Roman"/>
          <w:color w:val="auto"/>
          <w:szCs w:val="24"/>
          <w:lang w:val="es-CO"/>
        </w:rPr>
      </w:pPr>
      <w:r w:rsidRPr="00C77F97">
        <w:rPr>
          <w:rFonts w:eastAsia="Times New Roman" w:cs="Times New Roman"/>
          <w:color w:val="auto"/>
          <w:szCs w:val="24"/>
          <w:lang w:val="es-CO"/>
        </w:rPr>
        <w:t> </w:t>
      </w:r>
    </w:p>
    <w:p w:rsidR="00C77F97" w:rsidRPr="00C77F97" w:rsidRDefault="00C77F97" w:rsidP="00C77F97">
      <w:pPr>
        <w:spacing w:line="240" w:lineRule="auto"/>
        <w:rPr>
          <w:rFonts w:eastAsia="Times New Roman" w:cs="Times New Roman"/>
          <w:color w:val="auto"/>
          <w:szCs w:val="24"/>
          <w:lang w:val="es-CO"/>
        </w:rPr>
      </w:pPr>
      <w:r w:rsidRPr="00C77F97">
        <w:rPr>
          <w:rFonts w:eastAsia="Times New Roman" w:cs="Times New Roman"/>
          <w:color w:val="auto"/>
          <w:szCs w:val="24"/>
          <w:lang w:val="es-CO"/>
        </w:rPr>
        <w:t>3.6. Indicar las normas o disposiciones ambientales a las cuales se pretende dar cumplimiento, en caso de que aplique.</w:t>
      </w:r>
    </w:p>
    <w:p w:rsidR="00C77F97" w:rsidRDefault="00C77F97" w:rsidP="00C77F97">
      <w:pPr>
        <w:spacing w:line="240" w:lineRule="auto"/>
        <w:rPr>
          <w:rFonts w:eastAsia="Times New Roman" w:cs="Times New Roman"/>
          <w:color w:val="auto"/>
          <w:szCs w:val="24"/>
          <w:lang w:val="es-CO"/>
        </w:rPr>
      </w:pPr>
    </w:p>
    <w:p w:rsidR="00C77F97" w:rsidRPr="00C77F97" w:rsidRDefault="00C77F97" w:rsidP="00C77F97">
      <w:pPr>
        <w:spacing w:line="240" w:lineRule="auto"/>
        <w:rPr>
          <w:rFonts w:eastAsia="Times New Roman" w:cs="Times New Roman"/>
          <w:color w:val="auto"/>
          <w:szCs w:val="24"/>
          <w:lang w:val="es-CO"/>
        </w:rPr>
      </w:pPr>
      <w:r w:rsidRPr="00C77F97">
        <w:rPr>
          <w:rFonts w:eastAsia="Times New Roman" w:cs="Times New Roman"/>
          <w:color w:val="auto"/>
          <w:szCs w:val="24"/>
          <w:lang w:val="es-CO"/>
        </w:rPr>
        <w:lastRenderedPageBreak/>
        <w:t>3.7. Señalar, cuantificar y/o cualificar los beneficios ambientales directos que tiene la inversión en control del medio ambiente o conservación y mejoramiento del medio ambiente, soportándolos técnicamente y de acuerdo con los parámetros y definiciones previstas en el Decreto 1625 de 2016. Para estos efectos, se deberá tener en cuenta lo siguiente:</w:t>
      </w:r>
    </w:p>
    <w:p w:rsidR="00C77F97" w:rsidRPr="00C77F97" w:rsidRDefault="00C77F97" w:rsidP="00C77F97">
      <w:pPr>
        <w:spacing w:line="240" w:lineRule="auto"/>
        <w:rPr>
          <w:rFonts w:eastAsia="Times New Roman" w:cs="Times New Roman"/>
          <w:color w:val="auto"/>
          <w:szCs w:val="24"/>
          <w:lang w:val="es-CO"/>
        </w:rPr>
      </w:pPr>
      <w:r w:rsidRPr="00C77F97">
        <w:rPr>
          <w:rFonts w:eastAsia="Times New Roman" w:cs="Times New Roman"/>
          <w:color w:val="auto"/>
          <w:szCs w:val="24"/>
          <w:lang w:val="es-CO"/>
        </w:rPr>
        <w:t> </w:t>
      </w:r>
    </w:p>
    <w:p w:rsidR="00C77F97" w:rsidRPr="00C77F97" w:rsidRDefault="00C77F97" w:rsidP="00C77F97">
      <w:pPr>
        <w:spacing w:line="240" w:lineRule="auto"/>
        <w:rPr>
          <w:rFonts w:eastAsia="Times New Roman" w:cs="Times New Roman"/>
          <w:color w:val="auto"/>
          <w:szCs w:val="24"/>
          <w:lang w:val="es-CO"/>
        </w:rPr>
      </w:pPr>
      <w:r w:rsidRPr="00C77F97">
        <w:rPr>
          <w:rFonts w:eastAsia="Times New Roman" w:cs="Times New Roman"/>
          <w:color w:val="auto"/>
          <w:szCs w:val="24"/>
          <w:lang w:val="es-CO"/>
        </w:rPr>
        <w:t>3.7.1. Cuando se trate de una inversión en control del medio ambiente, para efectos de medir y verificar los beneficios ambientales directos se deberá acreditar:</w:t>
      </w:r>
    </w:p>
    <w:p w:rsidR="00C77F97" w:rsidRPr="00C77F97" w:rsidRDefault="00C77F97" w:rsidP="00C77F97">
      <w:pPr>
        <w:spacing w:line="240" w:lineRule="auto"/>
        <w:rPr>
          <w:rFonts w:eastAsia="Times New Roman" w:cs="Times New Roman"/>
          <w:color w:val="auto"/>
          <w:szCs w:val="24"/>
          <w:lang w:val="es-CO"/>
        </w:rPr>
      </w:pPr>
      <w:r w:rsidRPr="00C77F97">
        <w:rPr>
          <w:rFonts w:eastAsia="Times New Roman" w:cs="Times New Roman"/>
          <w:color w:val="auto"/>
          <w:szCs w:val="24"/>
          <w:lang w:val="es-CO"/>
        </w:rPr>
        <w:t> </w:t>
      </w:r>
    </w:p>
    <w:p w:rsidR="00C77F97" w:rsidRPr="00C77F97" w:rsidRDefault="00C77F97" w:rsidP="00C77F97">
      <w:pPr>
        <w:spacing w:line="240" w:lineRule="auto"/>
        <w:rPr>
          <w:rFonts w:eastAsia="Times New Roman" w:cs="Times New Roman"/>
          <w:color w:val="auto"/>
          <w:szCs w:val="24"/>
          <w:lang w:val="es-CO"/>
        </w:rPr>
      </w:pPr>
      <w:r w:rsidRPr="00C77F97">
        <w:rPr>
          <w:rFonts w:eastAsia="Times New Roman" w:cs="Times New Roman"/>
          <w:color w:val="auto"/>
          <w:szCs w:val="24"/>
          <w:lang w:val="es-CO"/>
        </w:rPr>
        <w:t>3.7.1.1. La disminución de la demanda de recursos naturales renovables en el desarrollo de procesos o actividades productivas, para lo cual se deberá diligenciar el Formato 1 anexo al presente acto administrativo, el cual forma parte integral del mismo.</w:t>
      </w:r>
    </w:p>
    <w:p w:rsidR="00C77F97" w:rsidRDefault="00C77F97" w:rsidP="00C77F97">
      <w:pPr>
        <w:spacing w:line="240" w:lineRule="auto"/>
        <w:rPr>
          <w:rFonts w:eastAsia="Times New Roman" w:cs="Times New Roman"/>
          <w:color w:val="auto"/>
          <w:szCs w:val="24"/>
          <w:lang w:val="es-CO"/>
        </w:rPr>
      </w:pPr>
    </w:p>
    <w:p w:rsidR="00C77F97" w:rsidRPr="00C77F97" w:rsidRDefault="00C77F97" w:rsidP="00C77F97">
      <w:pPr>
        <w:spacing w:line="240" w:lineRule="auto"/>
        <w:rPr>
          <w:rFonts w:eastAsia="Times New Roman" w:cs="Times New Roman"/>
          <w:color w:val="auto"/>
          <w:szCs w:val="24"/>
          <w:lang w:val="es-CO"/>
        </w:rPr>
      </w:pPr>
      <w:r w:rsidRPr="00C77F97">
        <w:rPr>
          <w:rFonts w:eastAsia="Times New Roman" w:cs="Times New Roman"/>
          <w:color w:val="auto"/>
          <w:szCs w:val="24"/>
          <w:lang w:val="es-CO"/>
        </w:rPr>
        <w:t>3.7.1.2. La prevención y/o reducción en la generación de residuos líquidos, emisiones atmosféricas o residuos sólidos y/o mejoramiento de la calidad de los mismos, lo que equivale a reducir cargas contaminantes de procesos productivos. Para estos efectos, se deberán diligenciar los Formatos 2, 3 o 4 anexos al presente acto administrativo y los cuales forman parte integral del mismo.</w:t>
      </w:r>
    </w:p>
    <w:p w:rsidR="00C77F97" w:rsidRDefault="00C77F97" w:rsidP="00C77F97">
      <w:pPr>
        <w:spacing w:line="240" w:lineRule="auto"/>
        <w:rPr>
          <w:rFonts w:eastAsia="Times New Roman" w:cs="Times New Roman"/>
          <w:color w:val="auto"/>
          <w:szCs w:val="24"/>
          <w:lang w:val="es-CO"/>
        </w:rPr>
      </w:pPr>
    </w:p>
    <w:p w:rsidR="00C77F97" w:rsidRPr="00C77F97" w:rsidRDefault="00C77F97" w:rsidP="00C77F97">
      <w:pPr>
        <w:spacing w:line="240" w:lineRule="auto"/>
        <w:rPr>
          <w:rFonts w:eastAsia="Times New Roman" w:cs="Times New Roman"/>
          <w:color w:val="auto"/>
          <w:szCs w:val="24"/>
          <w:lang w:val="es-CO"/>
        </w:rPr>
      </w:pPr>
      <w:r w:rsidRPr="00C77F97">
        <w:rPr>
          <w:rFonts w:eastAsia="Times New Roman" w:cs="Times New Roman"/>
          <w:color w:val="auto"/>
          <w:szCs w:val="24"/>
          <w:lang w:val="es-CO"/>
        </w:rPr>
        <w:t>3.7.1.3. La obtención, verificación, procesamiento, vigilancia y seguimiento o monitoreo del estado de la calidad, comportamiento y uso de los recursos naturales renovables y del medio ambiente, variables o parámetros ambientales, vertimientos, residuos y/o emisiones.</w:t>
      </w:r>
    </w:p>
    <w:p w:rsidR="00C77F97" w:rsidRPr="00C77F97" w:rsidRDefault="00C77F97" w:rsidP="00C77F97">
      <w:pPr>
        <w:spacing w:line="240" w:lineRule="auto"/>
        <w:rPr>
          <w:rFonts w:eastAsia="Times New Roman" w:cs="Times New Roman"/>
          <w:color w:val="auto"/>
          <w:szCs w:val="24"/>
          <w:lang w:val="es-CO"/>
        </w:rPr>
      </w:pPr>
      <w:r w:rsidRPr="00C77F97">
        <w:rPr>
          <w:rFonts w:eastAsia="Times New Roman" w:cs="Times New Roman"/>
          <w:b/>
          <w:bCs/>
          <w:color w:val="auto"/>
          <w:szCs w:val="24"/>
          <w:lang w:val="es-CO"/>
        </w:rPr>
        <w:t> </w:t>
      </w:r>
    </w:p>
    <w:p w:rsidR="00C77F97" w:rsidRPr="00C77F97" w:rsidRDefault="00C77F97" w:rsidP="00C77F97">
      <w:pPr>
        <w:spacing w:line="240" w:lineRule="auto"/>
        <w:rPr>
          <w:rFonts w:eastAsia="Times New Roman" w:cs="Times New Roman"/>
          <w:color w:val="auto"/>
          <w:szCs w:val="24"/>
          <w:lang w:val="es-CO"/>
        </w:rPr>
      </w:pPr>
      <w:r w:rsidRPr="002D4618">
        <w:rPr>
          <w:rFonts w:eastAsia="Times New Roman" w:cs="Times New Roman"/>
          <w:b/>
          <w:bCs/>
          <w:color w:val="auto"/>
          <w:szCs w:val="24"/>
          <w:highlight w:val="green"/>
          <w:lang w:val="es-CO"/>
        </w:rPr>
        <w:t>3.7.2. En el evento de que se trate de una inversión en conservación y mejoramiento del medio ambiente, para determinar los beneficios ambientales directos se deberá:</w:t>
      </w:r>
    </w:p>
    <w:p w:rsidR="00C77F97" w:rsidRPr="00C77F97" w:rsidRDefault="00C77F97" w:rsidP="00C77F97">
      <w:pPr>
        <w:spacing w:line="240" w:lineRule="auto"/>
        <w:rPr>
          <w:rFonts w:eastAsia="Times New Roman" w:cs="Times New Roman"/>
          <w:color w:val="auto"/>
          <w:szCs w:val="24"/>
          <w:lang w:val="es-CO"/>
        </w:rPr>
      </w:pPr>
      <w:r w:rsidRPr="00C77F97">
        <w:rPr>
          <w:rFonts w:eastAsia="Times New Roman" w:cs="Times New Roman"/>
          <w:color w:val="auto"/>
          <w:szCs w:val="24"/>
          <w:lang w:val="es-CO"/>
        </w:rPr>
        <w:t> </w:t>
      </w:r>
    </w:p>
    <w:p w:rsidR="00C77F97" w:rsidRPr="00C77F97" w:rsidRDefault="00C77F97" w:rsidP="00C77F97">
      <w:pPr>
        <w:spacing w:line="240" w:lineRule="auto"/>
        <w:rPr>
          <w:rFonts w:eastAsia="Times New Roman" w:cs="Times New Roman"/>
          <w:color w:val="auto"/>
          <w:szCs w:val="24"/>
          <w:lang w:val="es-CO"/>
        </w:rPr>
      </w:pPr>
      <w:r w:rsidRPr="002D4618">
        <w:rPr>
          <w:rFonts w:eastAsia="Times New Roman" w:cs="Times New Roman"/>
          <w:color w:val="auto"/>
          <w:szCs w:val="24"/>
          <w:highlight w:val="green"/>
          <w:lang w:val="es-CO"/>
        </w:rPr>
        <w:t>Identificar si la inversión en mejoramiento del medio ambiente, de acuerdo con la definición del literal b) del artículo 1.2.1.18.51. del Decreto 1625 de 2016, corresponde a la ejecución de proyectos encaminados a la preservación, restauración, regeneración, repoblación de recursos naturales renovables y del medio ambiente que correspondan a:</w:t>
      </w:r>
    </w:p>
    <w:p w:rsidR="00C77F97" w:rsidRPr="00C77F97" w:rsidRDefault="00C77F97" w:rsidP="00C77F97">
      <w:pPr>
        <w:spacing w:line="240" w:lineRule="auto"/>
        <w:rPr>
          <w:rFonts w:eastAsia="Times New Roman" w:cs="Times New Roman"/>
          <w:color w:val="auto"/>
          <w:szCs w:val="24"/>
          <w:lang w:val="es-CO"/>
        </w:rPr>
      </w:pPr>
      <w:r w:rsidRPr="00C77F97">
        <w:rPr>
          <w:rFonts w:eastAsia="Times New Roman" w:cs="Times New Roman"/>
          <w:color w:val="auto"/>
          <w:szCs w:val="24"/>
          <w:lang w:val="es-CO"/>
        </w:rPr>
        <w:t> </w:t>
      </w:r>
    </w:p>
    <w:p w:rsidR="00C77F97" w:rsidRPr="00C77F97" w:rsidRDefault="00C77F97" w:rsidP="00C77F97">
      <w:pPr>
        <w:spacing w:line="240" w:lineRule="auto"/>
        <w:rPr>
          <w:rFonts w:eastAsia="Times New Roman" w:cs="Times New Roman"/>
          <w:color w:val="auto"/>
          <w:szCs w:val="24"/>
          <w:lang w:val="es-CO"/>
        </w:rPr>
      </w:pPr>
      <w:r w:rsidRPr="00C77F97">
        <w:rPr>
          <w:rFonts w:eastAsia="Times New Roman" w:cs="Times New Roman"/>
          <w:color w:val="auto"/>
          <w:szCs w:val="24"/>
          <w:lang w:val="es-CO"/>
        </w:rPr>
        <w:t>3.7.2.1. El desarrollo de planes y políticas ambientales nacionales previstas en el Plan Nacional de Desarrollo o formuladas por el Ministerio de Ambiente y Desarrollo Sostenible.</w:t>
      </w:r>
    </w:p>
    <w:p w:rsidR="00C77F97" w:rsidRPr="00C77F97" w:rsidRDefault="00C77F97" w:rsidP="00C77F97">
      <w:pPr>
        <w:spacing w:line="240" w:lineRule="auto"/>
        <w:rPr>
          <w:rFonts w:eastAsia="Times New Roman" w:cs="Times New Roman"/>
          <w:color w:val="auto"/>
          <w:szCs w:val="24"/>
          <w:lang w:val="es-CO"/>
        </w:rPr>
      </w:pPr>
      <w:r w:rsidRPr="00C77F97">
        <w:rPr>
          <w:rFonts w:eastAsia="Times New Roman" w:cs="Times New Roman"/>
          <w:color w:val="auto"/>
          <w:szCs w:val="24"/>
          <w:lang w:val="es-CO"/>
        </w:rPr>
        <w:t>3.7.2.2. Se enmarquen en la implementación de planes ambientales regionales o los que hagan sus veces definidos por las autoridades ambientales.</w:t>
      </w:r>
    </w:p>
    <w:p w:rsidR="00C77F97" w:rsidRPr="00C77F97" w:rsidRDefault="00C77F97" w:rsidP="00C77F97">
      <w:pPr>
        <w:spacing w:line="240" w:lineRule="auto"/>
        <w:rPr>
          <w:rFonts w:eastAsia="Times New Roman" w:cs="Times New Roman"/>
          <w:color w:val="auto"/>
          <w:szCs w:val="24"/>
          <w:lang w:val="es-CO"/>
        </w:rPr>
      </w:pPr>
      <w:r w:rsidRPr="00C77F97">
        <w:rPr>
          <w:rFonts w:eastAsia="Times New Roman" w:cs="Times New Roman"/>
          <w:color w:val="auto"/>
          <w:szCs w:val="24"/>
          <w:lang w:val="es-CO"/>
        </w:rPr>
        <w:t> </w:t>
      </w:r>
    </w:p>
    <w:p w:rsidR="00C77F97" w:rsidRPr="00C77F97" w:rsidRDefault="00C77F97" w:rsidP="00C77F97">
      <w:pPr>
        <w:spacing w:line="240" w:lineRule="auto"/>
        <w:rPr>
          <w:rFonts w:eastAsia="Times New Roman" w:cs="Times New Roman"/>
          <w:color w:val="auto"/>
          <w:szCs w:val="24"/>
          <w:lang w:val="es-CO"/>
        </w:rPr>
      </w:pPr>
      <w:r w:rsidRPr="002D4618">
        <w:rPr>
          <w:rFonts w:eastAsia="Times New Roman" w:cs="Times New Roman"/>
          <w:color w:val="auto"/>
          <w:szCs w:val="24"/>
          <w:highlight w:val="green"/>
          <w:lang w:val="es-CO"/>
        </w:rPr>
        <w:t>Es necesario definir dentro de los planes ambientales regionales o los que hagan sus veces, la meta ambiental que se quiere alcanzar, junto con las actividades a realizar donde sea necesaria la inversión acreditable para el beneficio tributario, de tal manera que la autoridad ambiental pueda hacer control y seguimiento en el cumplimiento de lo planteado.</w:t>
      </w:r>
    </w:p>
    <w:p w:rsidR="00C77F97" w:rsidRPr="00C77F97" w:rsidRDefault="00C77F97" w:rsidP="00C77F97">
      <w:pPr>
        <w:spacing w:line="240" w:lineRule="auto"/>
        <w:rPr>
          <w:rFonts w:eastAsia="Times New Roman" w:cs="Times New Roman"/>
          <w:color w:val="auto"/>
          <w:szCs w:val="24"/>
          <w:lang w:val="es-CO"/>
        </w:rPr>
      </w:pPr>
      <w:r w:rsidRPr="00C77F97">
        <w:rPr>
          <w:rFonts w:eastAsia="Times New Roman" w:cs="Times New Roman"/>
          <w:b/>
          <w:bCs/>
          <w:color w:val="auto"/>
          <w:szCs w:val="24"/>
          <w:lang w:val="es-CO"/>
        </w:rPr>
        <w:t> </w:t>
      </w:r>
    </w:p>
    <w:p w:rsidR="00C77F97" w:rsidRPr="00C77F97" w:rsidRDefault="00C77F97" w:rsidP="00C77F97">
      <w:pPr>
        <w:spacing w:line="240" w:lineRule="auto"/>
        <w:rPr>
          <w:rFonts w:eastAsia="Times New Roman" w:cs="Times New Roman"/>
          <w:color w:val="auto"/>
          <w:szCs w:val="24"/>
          <w:lang w:val="es-CO"/>
        </w:rPr>
      </w:pPr>
      <w:r w:rsidRPr="002D4618">
        <w:rPr>
          <w:rFonts w:eastAsia="Times New Roman" w:cs="Times New Roman"/>
          <w:b/>
          <w:bCs/>
          <w:color w:val="auto"/>
          <w:szCs w:val="24"/>
          <w:highlight w:val="green"/>
          <w:lang w:val="es-CO"/>
        </w:rPr>
        <w:t>3.7.3. Cuando se trate de bienes, equipos o maquinaria destinados a proyectos, programas o actividades de reducción en el consumo de energía y/o eficiencia energética que correspondan a la implementación de metas ambientales concertadas con el Ministerio de Ambiente y Desarrollo Sostenible, para el desarrollo de las estrategias, planes y programas de ahorro y eficiencia energética establecidos por el Ministerio de Minas y Energía, adicionalmente se deberá allegar además de la anterior información:</w:t>
      </w:r>
    </w:p>
    <w:p w:rsidR="00C77F97" w:rsidRPr="00C77F97" w:rsidRDefault="00C77F97" w:rsidP="00C77F97">
      <w:pPr>
        <w:spacing w:line="240" w:lineRule="auto"/>
        <w:rPr>
          <w:rFonts w:eastAsia="Times New Roman" w:cs="Times New Roman"/>
          <w:color w:val="auto"/>
          <w:szCs w:val="24"/>
          <w:lang w:val="es-CO"/>
        </w:rPr>
      </w:pPr>
      <w:r w:rsidRPr="00C77F97">
        <w:rPr>
          <w:rFonts w:eastAsia="Times New Roman" w:cs="Times New Roman"/>
          <w:color w:val="auto"/>
          <w:szCs w:val="24"/>
          <w:lang w:val="es-CO"/>
        </w:rPr>
        <w:t> </w:t>
      </w:r>
    </w:p>
    <w:p w:rsidR="00C77F97" w:rsidRPr="00C77F97" w:rsidRDefault="00C77F97" w:rsidP="00C77F97">
      <w:pPr>
        <w:spacing w:line="240" w:lineRule="auto"/>
        <w:rPr>
          <w:rFonts w:eastAsia="Times New Roman" w:cs="Times New Roman"/>
          <w:color w:val="auto"/>
          <w:szCs w:val="24"/>
          <w:lang w:val="es-CO"/>
        </w:rPr>
      </w:pPr>
      <w:r w:rsidRPr="00C77F97">
        <w:rPr>
          <w:rFonts w:eastAsia="Times New Roman" w:cs="Times New Roman"/>
          <w:color w:val="auto"/>
          <w:szCs w:val="24"/>
          <w:lang w:val="es-CO"/>
        </w:rPr>
        <w:t>3.7.3.1. Concepto emitido por la Unidad de Planeación Minero Energético (UPME) a nombre del titular de la inversión en el que conste la acción y/o medida en la que se enmarca la solicitud y en cuanto contribuye el proyecto a las metas establecidas en la Resolución 1988 de 2017, adicionada por la Resolución 367 de 2018, o la norma que la modifique, sustituye o derogue.</w:t>
      </w:r>
    </w:p>
    <w:p w:rsidR="00C77F97" w:rsidRDefault="00C77F97" w:rsidP="00C77F97">
      <w:pPr>
        <w:spacing w:line="240" w:lineRule="auto"/>
        <w:rPr>
          <w:rFonts w:eastAsia="Times New Roman" w:cs="Times New Roman"/>
          <w:color w:val="auto"/>
          <w:szCs w:val="24"/>
          <w:lang w:val="es-CO"/>
        </w:rPr>
      </w:pPr>
    </w:p>
    <w:p w:rsidR="00C77F97" w:rsidRPr="00C77F97" w:rsidRDefault="00C77F97" w:rsidP="00C77F97">
      <w:pPr>
        <w:spacing w:line="240" w:lineRule="auto"/>
        <w:rPr>
          <w:rFonts w:eastAsia="Times New Roman" w:cs="Times New Roman"/>
          <w:color w:val="auto"/>
          <w:szCs w:val="24"/>
          <w:lang w:val="es-CO"/>
        </w:rPr>
      </w:pPr>
      <w:r w:rsidRPr="00C77F97">
        <w:rPr>
          <w:rFonts w:eastAsia="Times New Roman" w:cs="Times New Roman"/>
          <w:color w:val="auto"/>
          <w:szCs w:val="24"/>
          <w:lang w:val="es-CO"/>
        </w:rPr>
        <w:t>3.7.3.2. Cuando la solicitud se enmarque en las acciones y medidas para el sector transporte, se deberá suministrar la siguiente información:</w:t>
      </w:r>
    </w:p>
    <w:p w:rsidR="00C77F97" w:rsidRPr="00C77F97" w:rsidRDefault="00C77F97" w:rsidP="00C77F97">
      <w:pPr>
        <w:spacing w:line="240" w:lineRule="auto"/>
        <w:rPr>
          <w:rFonts w:eastAsia="Times New Roman" w:cs="Times New Roman"/>
          <w:color w:val="auto"/>
          <w:szCs w:val="24"/>
          <w:lang w:val="es-CO"/>
        </w:rPr>
      </w:pPr>
      <w:r w:rsidRPr="00C77F97">
        <w:rPr>
          <w:rFonts w:eastAsia="Times New Roman" w:cs="Times New Roman"/>
          <w:color w:val="auto"/>
          <w:szCs w:val="24"/>
          <w:lang w:val="es-CO"/>
        </w:rPr>
        <w:t> </w:t>
      </w:r>
    </w:p>
    <w:p w:rsidR="00C77F97" w:rsidRPr="00C77F97" w:rsidRDefault="00C77F97" w:rsidP="00C77F97">
      <w:pPr>
        <w:spacing w:line="240" w:lineRule="auto"/>
        <w:rPr>
          <w:rFonts w:eastAsia="Times New Roman" w:cs="Times New Roman"/>
          <w:color w:val="auto"/>
          <w:szCs w:val="24"/>
          <w:lang w:val="es-CO"/>
        </w:rPr>
      </w:pPr>
      <w:r w:rsidRPr="00C77F97">
        <w:rPr>
          <w:rFonts w:eastAsia="Times New Roman" w:cs="Times New Roman"/>
          <w:color w:val="auto"/>
          <w:szCs w:val="24"/>
          <w:lang w:val="es-CO"/>
        </w:rPr>
        <w:lastRenderedPageBreak/>
        <w:t>3.7.3.2.1. Ahorro de combustible frente a la operación con vehículos convencionales de similares características, con la muestra de cálculo que soporte los datos presentados.</w:t>
      </w:r>
    </w:p>
    <w:p w:rsidR="00C77F97" w:rsidRDefault="00C77F97" w:rsidP="00C77F97">
      <w:pPr>
        <w:spacing w:line="240" w:lineRule="auto"/>
        <w:rPr>
          <w:rFonts w:eastAsia="Times New Roman" w:cs="Times New Roman"/>
          <w:color w:val="auto"/>
          <w:szCs w:val="24"/>
          <w:lang w:val="es-CO"/>
        </w:rPr>
      </w:pPr>
    </w:p>
    <w:p w:rsidR="00C77F97" w:rsidRPr="00C77F97" w:rsidRDefault="00C77F97" w:rsidP="00C77F97">
      <w:pPr>
        <w:spacing w:line="240" w:lineRule="auto"/>
        <w:rPr>
          <w:rFonts w:eastAsia="Times New Roman" w:cs="Times New Roman"/>
          <w:color w:val="auto"/>
          <w:szCs w:val="24"/>
          <w:lang w:val="es-CO"/>
        </w:rPr>
      </w:pPr>
      <w:r w:rsidRPr="00C77F97">
        <w:rPr>
          <w:rFonts w:eastAsia="Times New Roman" w:cs="Times New Roman"/>
          <w:color w:val="auto"/>
          <w:szCs w:val="24"/>
          <w:lang w:val="es-CO"/>
        </w:rPr>
        <w:t>3.7.3.2.2. Adicionalmente, para los sistemas de transporte masivo, se deberá señalar a qué sistema o componente del sistema de transporte masivo se vincularán los equipos objeto de la solicitud.</w:t>
      </w:r>
    </w:p>
    <w:p w:rsidR="00C77F97" w:rsidRPr="00C77F97" w:rsidRDefault="00C77F97" w:rsidP="00C77F97">
      <w:pPr>
        <w:spacing w:line="240" w:lineRule="auto"/>
        <w:rPr>
          <w:rFonts w:eastAsia="Times New Roman" w:cs="Times New Roman"/>
          <w:color w:val="auto"/>
          <w:szCs w:val="24"/>
          <w:lang w:val="es-CO"/>
        </w:rPr>
      </w:pPr>
      <w:r w:rsidRPr="00C77F97">
        <w:rPr>
          <w:rFonts w:eastAsia="Times New Roman" w:cs="Times New Roman"/>
          <w:color w:val="auto"/>
          <w:szCs w:val="24"/>
          <w:lang w:val="es-CO"/>
        </w:rPr>
        <w:t> </w:t>
      </w:r>
    </w:p>
    <w:p w:rsidR="00C77F97" w:rsidRPr="00C77F97" w:rsidRDefault="00C77F97" w:rsidP="00C77F97">
      <w:pPr>
        <w:spacing w:line="240" w:lineRule="auto"/>
        <w:rPr>
          <w:rFonts w:eastAsia="Times New Roman" w:cs="Times New Roman"/>
          <w:color w:val="auto"/>
          <w:szCs w:val="24"/>
          <w:lang w:val="es-CO"/>
        </w:rPr>
      </w:pPr>
      <w:r w:rsidRPr="00C77F97">
        <w:rPr>
          <w:rFonts w:eastAsia="Times New Roman" w:cs="Times New Roman"/>
          <w:color w:val="auto"/>
          <w:szCs w:val="24"/>
          <w:lang w:val="es-CO"/>
        </w:rPr>
        <w:t>3.7.3.3. Cuando la solicitud corresponda a medidas de eficiencia energética en energía eléctrica en aire acondicionado y refrigeración, se deberá anexar certificación por parte del fabricante que especifique que el equipo o sistema no contenga o requiera para su producción u operación las sustancias listadas en los Anexos del Protocolo de Montreal, y que no posean un potencial de calentamiento global mayor a 100 GWP, según lo listado en el informe de evaluación del IPCC (</w:t>
      </w:r>
      <w:proofErr w:type="spellStart"/>
      <w:r w:rsidRPr="00C77F97">
        <w:rPr>
          <w:rFonts w:eastAsia="Times New Roman" w:cs="Times New Roman"/>
          <w:color w:val="auto"/>
          <w:szCs w:val="24"/>
          <w:lang w:val="es-CO"/>
        </w:rPr>
        <w:t>Intergovernmental</w:t>
      </w:r>
      <w:proofErr w:type="spellEnd"/>
      <w:r w:rsidRPr="00C77F97">
        <w:rPr>
          <w:rFonts w:eastAsia="Times New Roman" w:cs="Times New Roman"/>
          <w:color w:val="auto"/>
          <w:szCs w:val="24"/>
          <w:lang w:val="es-CO"/>
        </w:rPr>
        <w:t xml:space="preserve"> Panel </w:t>
      </w:r>
      <w:proofErr w:type="spellStart"/>
      <w:r w:rsidRPr="00C77F97">
        <w:rPr>
          <w:rFonts w:eastAsia="Times New Roman" w:cs="Times New Roman"/>
          <w:color w:val="auto"/>
          <w:szCs w:val="24"/>
          <w:lang w:val="es-CO"/>
        </w:rPr>
        <w:t>on</w:t>
      </w:r>
      <w:proofErr w:type="spellEnd"/>
      <w:r w:rsidRPr="00C77F97">
        <w:rPr>
          <w:rFonts w:eastAsia="Times New Roman" w:cs="Times New Roman"/>
          <w:color w:val="auto"/>
          <w:szCs w:val="24"/>
          <w:lang w:val="es-CO"/>
        </w:rPr>
        <w:t xml:space="preserve"> </w:t>
      </w:r>
      <w:proofErr w:type="spellStart"/>
      <w:r w:rsidRPr="00C77F97">
        <w:rPr>
          <w:rFonts w:eastAsia="Times New Roman" w:cs="Times New Roman"/>
          <w:color w:val="auto"/>
          <w:szCs w:val="24"/>
          <w:lang w:val="es-CO"/>
        </w:rPr>
        <w:t>Climate</w:t>
      </w:r>
      <w:proofErr w:type="spellEnd"/>
      <w:r w:rsidRPr="00C77F97">
        <w:rPr>
          <w:rFonts w:eastAsia="Times New Roman" w:cs="Times New Roman"/>
          <w:color w:val="auto"/>
          <w:szCs w:val="24"/>
          <w:lang w:val="es-CO"/>
        </w:rPr>
        <w:t xml:space="preserve"> </w:t>
      </w:r>
      <w:proofErr w:type="spellStart"/>
      <w:r w:rsidRPr="00C77F97">
        <w:rPr>
          <w:rFonts w:eastAsia="Times New Roman" w:cs="Times New Roman"/>
          <w:color w:val="auto"/>
          <w:szCs w:val="24"/>
          <w:lang w:val="es-CO"/>
        </w:rPr>
        <w:t>Change</w:t>
      </w:r>
      <w:proofErr w:type="spellEnd"/>
      <w:r w:rsidRPr="00C77F97">
        <w:rPr>
          <w:rFonts w:eastAsia="Times New Roman" w:cs="Times New Roman"/>
          <w:color w:val="auto"/>
          <w:szCs w:val="24"/>
          <w:lang w:val="es-CO"/>
        </w:rPr>
        <w:t>).</w:t>
      </w:r>
    </w:p>
    <w:p w:rsidR="00C77F97" w:rsidRDefault="00C77F97" w:rsidP="00C77F97">
      <w:pPr>
        <w:spacing w:line="240" w:lineRule="auto"/>
        <w:rPr>
          <w:rFonts w:eastAsia="Times New Roman" w:cs="Times New Roman"/>
          <w:color w:val="auto"/>
          <w:szCs w:val="24"/>
          <w:lang w:val="es-CO"/>
        </w:rPr>
      </w:pPr>
    </w:p>
    <w:p w:rsidR="00C77F97" w:rsidRPr="00C77F97" w:rsidRDefault="00C77F97" w:rsidP="00C77F97">
      <w:pPr>
        <w:spacing w:line="240" w:lineRule="auto"/>
        <w:rPr>
          <w:rFonts w:eastAsia="Times New Roman" w:cs="Times New Roman"/>
          <w:color w:val="auto"/>
          <w:szCs w:val="24"/>
          <w:lang w:val="es-CO"/>
        </w:rPr>
      </w:pPr>
      <w:r w:rsidRPr="00C77F97">
        <w:rPr>
          <w:rFonts w:eastAsia="Times New Roman" w:cs="Times New Roman"/>
          <w:color w:val="auto"/>
          <w:szCs w:val="24"/>
          <w:lang w:val="es-CO"/>
        </w:rPr>
        <w:t>3.7.3.4. Cuando la solicitud corresponda a implementación de distritos térmicos, se deberá anexar certificación por parte del fabricante que especifique que el equipo o sistema no contenga o requiera para su producción u operación las sustancias listadas en los Anexos del Protocolo de Montreal.</w:t>
      </w:r>
    </w:p>
    <w:p w:rsidR="00C77F97" w:rsidRDefault="00C77F97" w:rsidP="00C77F97">
      <w:pPr>
        <w:spacing w:line="240" w:lineRule="auto"/>
        <w:rPr>
          <w:rFonts w:eastAsia="Times New Roman" w:cs="Times New Roman"/>
          <w:color w:val="auto"/>
          <w:szCs w:val="24"/>
          <w:lang w:val="es-CO"/>
        </w:rPr>
      </w:pPr>
    </w:p>
    <w:p w:rsidR="00C77F97" w:rsidRPr="00C77F97" w:rsidRDefault="00C77F97" w:rsidP="00C77F97">
      <w:pPr>
        <w:spacing w:line="240" w:lineRule="auto"/>
        <w:rPr>
          <w:rFonts w:eastAsia="Times New Roman" w:cs="Times New Roman"/>
          <w:color w:val="auto"/>
          <w:szCs w:val="24"/>
          <w:lang w:val="es-CO"/>
        </w:rPr>
      </w:pPr>
      <w:r w:rsidRPr="00C77F97">
        <w:rPr>
          <w:rFonts w:eastAsia="Times New Roman" w:cs="Times New Roman"/>
          <w:color w:val="auto"/>
          <w:szCs w:val="24"/>
          <w:lang w:val="es-CO"/>
        </w:rPr>
        <w:t>3.7.3.5. Cuando la solicitud corresponda a medidas de eficiencia energética en energía eléctrica en iluminación y mejora de sistemas de alumbrado público se deberá, si el productor (importador o fabricante) se encuentra dentro del ámbito de aplicación de la Resolución 1511 de 2010 </w:t>
      </w:r>
      <w:r w:rsidRPr="00C77F97">
        <w:rPr>
          <w:rFonts w:eastAsia="Times New Roman" w:cs="Times New Roman"/>
          <w:i/>
          <w:iCs/>
          <w:color w:val="auto"/>
          <w:szCs w:val="24"/>
          <w:lang w:val="es-CO"/>
        </w:rPr>
        <w:t>“por la cual se establecen los Sistemas de Recolección Selectiva y Gestión Ambiental de Residuos de Bombillas y se adoptan otras disposiciones” </w:t>
      </w:r>
      <w:r w:rsidRPr="00C77F97">
        <w:rPr>
          <w:rFonts w:eastAsia="Times New Roman" w:cs="Times New Roman"/>
          <w:color w:val="auto"/>
          <w:szCs w:val="24"/>
          <w:lang w:val="es-CO"/>
        </w:rPr>
        <w:t>o aquellas normas que la modifiquen, sustituyan o complementen; y haga parte de la solicitud, contar con el acto administrativo que aprueba el respectivo Sistema de Recolección, emitido por la Autoridad Nacional de Licencias Ambientales (ANLA), o quien haga sus veces; la cual verificará el respectivo registro.</w:t>
      </w:r>
    </w:p>
    <w:p w:rsidR="00C77F97" w:rsidRDefault="00C77F97" w:rsidP="00C77F97">
      <w:pPr>
        <w:spacing w:line="240" w:lineRule="auto"/>
        <w:rPr>
          <w:rFonts w:eastAsia="Times New Roman" w:cs="Times New Roman"/>
          <w:color w:val="auto"/>
          <w:szCs w:val="24"/>
          <w:lang w:val="es-CO"/>
        </w:rPr>
      </w:pPr>
    </w:p>
    <w:p w:rsidR="00C77F97" w:rsidRPr="00C77F97" w:rsidRDefault="00C77F97" w:rsidP="00C77F97">
      <w:pPr>
        <w:spacing w:line="240" w:lineRule="auto"/>
        <w:rPr>
          <w:rFonts w:eastAsia="Times New Roman" w:cs="Times New Roman"/>
          <w:color w:val="auto"/>
          <w:szCs w:val="24"/>
          <w:lang w:val="es-CO"/>
        </w:rPr>
      </w:pPr>
      <w:r w:rsidRPr="00C77F97">
        <w:rPr>
          <w:rFonts w:eastAsia="Times New Roman" w:cs="Times New Roman"/>
          <w:color w:val="auto"/>
          <w:szCs w:val="24"/>
          <w:lang w:val="es-CO"/>
        </w:rPr>
        <w:t>3.7.3.6. Cuando la solicitud se enmarque en las acciones de mejoramiento en edificaciones, se deberá anexar comunicación expedida por el ente certificador nacional o internacional en la cual conste que se adelanta un proceso de certificación nacional o internacional en construcción sostenible en su fase de diseño.</w:t>
      </w:r>
    </w:p>
    <w:p w:rsidR="00C77F97" w:rsidRDefault="00C77F97" w:rsidP="00C77F97">
      <w:pPr>
        <w:spacing w:line="240" w:lineRule="auto"/>
        <w:rPr>
          <w:rFonts w:eastAsia="Times New Roman" w:cs="Times New Roman"/>
          <w:color w:val="auto"/>
          <w:szCs w:val="24"/>
          <w:lang w:val="es-CO"/>
        </w:rPr>
      </w:pPr>
    </w:p>
    <w:p w:rsidR="00C77F97" w:rsidRPr="00C77F97" w:rsidRDefault="00C77F97" w:rsidP="00C77F97">
      <w:pPr>
        <w:spacing w:line="240" w:lineRule="auto"/>
        <w:rPr>
          <w:rFonts w:eastAsia="Times New Roman" w:cs="Times New Roman"/>
          <w:color w:val="auto"/>
          <w:szCs w:val="24"/>
          <w:lang w:val="es-CO"/>
        </w:rPr>
      </w:pPr>
      <w:r w:rsidRPr="00C77F97">
        <w:rPr>
          <w:rFonts w:eastAsia="Times New Roman" w:cs="Times New Roman"/>
          <w:color w:val="auto"/>
          <w:szCs w:val="24"/>
          <w:lang w:val="es-CO"/>
        </w:rPr>
        <w:t>3.7.3.7. Cuando la solicitud se enmarque en las acciones de diseño e implementación de Sistemas de Gestión de la Energía (</w:t>
      </w:r>
      <w:proofErr w:type="spellStart"/>
      <w:r w:rsidRPr="00C77F97">
        <w:rPr>
          <w:rFonts w:eastAsia="Times New Roman" w:cs="Times New Roman"/>
          <w:color w:val="auto"/>
          <w:szCs w:val="24"/>
          <w:lang w:val="es-CO"/>
        </w:rPr>
        <w:t>SGEn</w:t>
      </w:r>
      <w:proofErr w:type="spellEnd"/>
      <w:r w:rsidRPr="00C77F97">
        <w:rPr>
          <w:rFonts w:eastAsia="Times New Roman" w:cs="Times New Roman"/>
          <w:color w:val="auto"/>
          <w:szCs w:val="24"/>
          <w:lang w:val="es-CO"/>
        </w:rPr>
        <w:t>), se deberá anexar el certificado en sistemas de gestión de la energía emitido por un ente certificador acreditado en ISO 50001 o NTC/ ISO 50001.</w:t>
      </w:r>
    </w:p>
    <w:p w:rsidR="00C77F97" w:rsidRPr="00C77F97" w:rsidRDefault="00C77F97" w:rsidP="00C77F97">
      <w:pPr>
        <w:spacing w:line="240" w:lineRule="auto"/>
        <w:rPr>
          <w:rFonts w:eastAsia="Times New Roman" w:cs="Times New Roman"/>
          <w:color w:val="auto"/>
          <w:szCs w:val="24"/>
          <w:lang w:val="es-CO"/>
        </w:rPr>
      </w:pPr>
      <w:r w:rsidRPr="00C77F97">
        <w:rPr>
          <w:rFonts w:eastAsia="Times New Roman" w:cs="Times New Roman"/>
          <w:color w:val="auto"/>
          <w:szCs w:val="24"/>
          <w:lang w:val="es-CO"/>
        </w:rPr>
        <w:t> </w:t>
      </w:r>
    </w:p>
    <w:p w:rsidR="00C77F97" w:rsidRPr="00C77F97" w:rsidRDefault="00C77F97" w:rsidP="00C77F97">
      <w:pPr>
        <w:spacing w:line="240" w:lineRule="auto"/>
        <w:rPr>
          <w:rFonts w:eastAsia="Times New Roman" w:cs="Times New Roman"/>
          <w:color w:val="auto"/>
          <w:szCs w:val="24"/>
          <w:lang w:val="es-CO"/>
        </w:rPr>
      </w:pPr>
      <w:r w:rsidRPr="00C77F97">
        <w:rPr>
          <w:rFonts w:eastAsia="Times New Roman" w:cs="Times New Roman"/>
          <w:color w:val="auto"/>
          <w:szCs w:val="24"/>
          <w:lang w:val="es-CO"/>
        </w:rPr>
        <w:t>3.8. Diligenciar el Formato 5 anexo a la presente resolución que hace parte integral de la misma sobre especificaciones y función en lo ambiental de la inversión y adjuntarlo impreso y en medio magnético.</w:t>
      </w:r>
    </w:p>
    <w:p w:rsidR="00C77F97" w:rsidRPr="00C77F97" w:rsidRDefault="00C77F97" w:rsidP="00C77F97">
      <w:pPr>
        <w:spacing w:line="240" w:lineRule="auto"/>
        <w:rPr>
          <w:rFonts w:eastAsia="Times New Roman" w:cs="Times New Roman"/>
          <w:color w:val="auto"/>
          <w:szCs w:val="24"/>
          <w:lang w:val="es-CO"/>
        </w:rPr>
      </w:pPr>
      <w:r w:rsidRPr="00C77F97">
        <w:rPr>
          <w:rFonts w:eastAsia="Times New Roman" w:cs="Times New Roman"/>
          <w:color w:val="auto"/>
          <w:szCs w:val="24"/>
          <w:lang w:val="es-CO"/>
        </w:rPr>
        <w:t> </w:t>
      </w:r>
    </w:p>
    <w:p w:rsidR="00C77F97" w:rsidRPr="00C77F97" w:rsidRDefault="00C77F97" w:rsidP="00C77F97">
      <w:pPr>
        <w:spacing w:line="240" w:lineRule="auto"/>
        <w:rPr>
          <w:rFonts w:eastAsia="Times New Roman" w:cs="Times New Roman"/>
          <w:color w:val="auto"/>
          <w:szCs w:val="24"/>
          <w:lang w:val="es-CO"/>
        </w:rPr>
      </w:pPr>
      <w:r w:rsidRPr="00C77F97">
        <w:rPr>
          <w:rFonts w:eastAsia="Times New Roman" w:cs="Times New Roman"/>
          <w:b/>
          <w:bCs/>
          <w:color w:val="auto"/>
          <w:szCs w:val="24"/>
          <w:lang w:val="es-CO"/>
        </w:rPr>
        <w:t>Parágrafo.</w:t>
      </w:r>
      <w:r w:rsidRPr="00C77F97">
        <w:rPr>
          <w:rFonts w:eastAsia="Times New Roman" w:cs="Times New Roman"/>
          <w:color w:val="auto"/>
          <w:szCs w:val="24"/>
          <w:lang w:val="es-CO"/>
        </w:rPr>
        <w:t> Las certificaciones de inversión en control del medio ambiente, conservación y mejoramiento del medio ambiente serán otorgadas por la Autoridad Nacional de Licencias Ambientales (ANLA), las Corporaciones Autónomas Regionales, las Corporaciones para el Desarrollo Sostenible, las Autoridades Ambientales de los Grandes Centros Urbanos y a las que se refiere el artículo 13 de la Ley 768 del 2002, el Distrito Portuario, Biodiverso, Industrial y Ecoturístico de Buenaventura y Parques Nacionales Naturales, en los eventos previstos en el artículo 1.2.1.18.55 del Decreto 1625 de 2016.</w:t>
      </w:r>
    </w:p>
    <w:p w:rsidR="00C77F97" w:rsidRPr="00C77F97" w:rsidRDefault="00C77F97" w:rsidP="00C77F97">
      <w:pPr>
        <w:spacing w:line="240" w:lineRule="auto"/>
        <w:rPr>
          <w:rFonts w:eastAsia="Times New Roman" w:cs="Times New Roman"/>
          <w:color w:val="auto"/>
          <w:szCs w:val="24"/>
          <w:lang w:val="es-CO"/>
        </w:rPr>
      </w:pPr>
      <w:r w:rsidRPr="00C77F97">
        <w:rPr>
          <w:rFonts w:eastAsia="Times New Roman" w:cs="Times New Roman"/>
          <w:color w:val="auto"/>
          <w:szCs w:val="24"/>
          <w:lang w:val="es-CO"/>
        </w:rPr>
        <w:t> </w:t>
      </w:r>
    </w:p>
    <w:p w:rsidR="00C77F97" w:rsidRPr="00C77F97" w:rsidRDefault="00C77F97" w:rsidP="00C77F97">
      <w:pPr>
        <w:spacing w:line="240" w:lineRule="auto"/>
        <w:rPr>
          <w:rFonts w:eastAsia="Times New Roman" w:cs="Times New Roman"/>
          <w:color w:val="auto"/>
          <w:szCs w:val="24"/>
          <w:lang w:val="es-CO"/>
        </w:rPr>
      </w:pPr>
      <w:r w:rsidRPr="002D4618">
        <w:rPr>
          <w:rFonts w:eastAsia="Times New Roman" w:cs="Times New Roman"/>
          <w:b/>
          <w:bCs/>
          <w:color w:val="auto"/>
          <w:szCs w:val="24"/>
          <w:highlight w:val="green"/>
          <w:lang w:val="es-CO"/>
        </w:rPr>
        <w:t>Artículo 4°.</w:t>
      </w:r>
      <w:r w:rsidRPr="002D4618">
        <w:rPr>
          <w:rFonts w:eastAsia="Times New Roman" w:cs="Times New Roman"/>
          <w:color w:val="auto"/>
          <w:szCs w:val="24"/>
          <w:highlight w:val="green"/>
          <w:lang w:val="es-CO"/>
        </w:rPr>
        <w:t> </w:t>
      </w:r>
      <w:r w:rsidRPr="002D4618">
        <w:rPr>
          <w:rFonts w:eastAsia="Times New Roman" w:cs="Times New Roman"/>
          <w:i/>
          <w:iCs/>
          <w:color w:val="auto"/>
          <w:szCs w:val="24"/>
          <w:highlight w:val="green"/>
          <w:lang w:val="es-CO"/>
        </w:rPr>
        <w:t>De los formatos. </w:t>
      </w:r>
      <w:r w:rsidRPr="002D4618">
        <w:rPr>
          <w:rFonts w:eastAsia="Times New Roman" w:cs="Times New Roman"/>
          <w:color w:val="auto"/>
          <w:szCs w:val="24"/>
          <w:highlight w:val="green"/>
          <w:lang w:val="es-CO"/>
        </w:rPr>
        <w:t>Los formatos que se listan a continuación y que forman parte integral de la presente resolución (Anexo), estarán a disposición de los interesados en la página web de la ANLA:</w:t>
      </w:r>
    </w:p>
    <w:p w:rsidR="00C77F97" w:rsidRPr="00C77F97" w:rsidRDefault="00C77F97" w:rsidP="00C77F97">
      <w:pPr>
        <w:spacing w:line="240" w:lineRule="auto"/>
        <w:rPr>
          <w:rFonts w:eastAsia="Times New Roman" w:cs="Times New Roman"/>
          <w:color w:val="auto"/>
          <w:szCs w:val="24"/>
          <w:lang w:val="es-CO"/>
        </w:rPr>
      </w:pPr>
      <w:r w:rsidRPr="00C77F97">
        <w:rPr>
          <w:rFonts w:eastAsia="Times New Roman" w:cs="Times New Roman"/>
          <w:color w:val="auto"/>
          <w:szCs w:val="24"/>
          <w:lang w:val="es-CO"/>
        </w:rPr>
        <w:t> </w:t>
      </w:r>
    </w:p>
    <w:p w:rsidR="00C77F97" w:rsidRPr="00C77F97" w:rsidRDefault="00C77F97" w:rsidP="00C77F97">
      <w:pPr>
        <w:spacing w:line="240" w:lineRule="auto"/>
        <w:rPr>
          <w:rFonts w:eastAsia="Times New Roman" w:cs="Times New Roman"/>
          <w:color w:val="auto"/>
          <w:szCs w:val="24"/>
          <w:lang w:val="es-CO"/>
        </w:rPr>
      </w:pPr>
      <w:r w:rsidRPr="00C77F97">
        <w:rPr>
          <w:rFonts w:eastAsia="Times New Roman" w:cs="Times New Roman"/>
          <w:color w:val="auto"/>
          <w:szCs w:val="24"/>
          <w:lang w:val="es-CO"/>
        </w:rPr>
        <w:t>1. Formato Único de Solicitud de Certificación Ambiental para acceder al beneficio tributario de Descuento de Renta.</w:t>
      </w:r>
    </w:p>
    <w:p w:rsidR="00C77F97" w:rsidRPr="00C77F97" w:rsidRDefault="00C77F97" w:rsidP="00C77F97">
      <w:pPr>
        <w:spacing w:line="240" w:lineRule="auto"/>
        <w:rPr>
          <w:rFonts w:eastAsia="Times New Roman" w:cs="Times New Roman"/>
          <w:color w:val="auto"/>
          <w:szCs w:val="24"/>
          <w:lang w:val="es-CO"/>
        </w:rPr>
      </w:pPr>
      <w:r w:rsidRPr="00C77F97">
        <w:rPr>
          <w:rFonts w:eastAsia="Times New Roman" w:cs="Times New Roman"/>
          <w:color w:val="auto"/>
          <w:szCs w:val="24"/>
          <w:lang w:val="es-CO"/>
        </w:rPr>
        <w:lastRenderedPageBreak/>
        <w:t>2. Formato 1. Diligenciamiento de información sobre beneficios ambientales de inversiones en control del medio ambiente o conservación y mejoramiento del medio ambiente por disminución de la demanda de recursos naturales renovables.</w:t>
      </w:r>
    </w:p>
    <w:p w:rsidR="00C77F97" w:rsidRDefault="00C77F97" w:rsidP="00C77F97">
      <w:pPr>
        <w:spacing w:line="240" w:lineRule="auto"/>
        <w:rPr>
          <w:rFonts w:eastAsia="Times New Roman" w:cs="Times New Roman"/>
          <w:color w:val="auto"/>
          <w:szCs w:val="24"/>
          <w:lang w:val="es-CO"/>
        </w:rPr>
      </w:pPr>
    </w:p>
    <w:p w:rsidR="00C77F97" w:rsidRPr="00C77F97" w:rsidRDefault="00C77F97" w:rsidP="00C77F97">
      <w:pPr>
        <w:spacing w:line="240" w:lineRule="auto"/>
        <w:rPr>
          <w:rFonts w:eastAsia="Times New Roman" w:cs="Times New Roman"/>
          <w:color w:val="auto"/>
          <w:szCs w:val="24"/>
          <w:lang w:val="es-CO"/>
        </w:rPr>
      </w:pPr>
      <w:r w:rsidRPr="00C77F97">
        <w:rPr>
          <w:rFonts w:eastAsia="Times New Roman" w:cs="Times New Roman"/>
          <w:color w:val="auto"/>
          <w:szCs w:val="24"/>
          <w:lang w:val="es-CO"/>
        </w:rPr>
        <w:t>3. Formato 2. Diligenciamiento de información sobre beneficios ambientales de inversiones en control del medio ambiente o conservación y mejoramiento del medio ambiente en la fuente o al final del proceso.</w:t>
      </w:r>
    </w:p>
    <w:p w:rsidR="00C77F97" w:rsidRDefault="00C77F97" w:rsidP="00C77F97">
      <w:pPr>
        <w:spacing w:line="240" w:lineRule="auto"/>
        <w:rPr>
          <w:rFonts w:eastAsia="Times New Roman" w:cs="Times New Roman"/>
          <w:color w:val="auto"/>
          <w:szCs w:val="24"/>
          <w:lang w:val="es-CO"/>
        </w:rPr>
      </w:pPr>
    </w:p>
    <w:p w:rsidR="00C77F97" w:rsidRPr="00C77F97" w:rsidRDefault="00C77F97" w:rsidP="00C77F97">
      <w:pPr>
        <w:spacing w:line="240" w:lineRule="auto"/>
        <w:rPr>
          <w:rFonts w:eastAsia="Times New Roman" w:cs="Times New Roman"/>
          <w:color w:val="auto"/>
          <w:szCs w:val="24"/>
          <w:lang w:val="es-CO"/>
        </w:rPr>
      </w:pPr>
      <w:r w:rsidRPr="00C77F97">
        <w:rPr>
          <w:rFonts w:eastAsia="Times New Roman" w:cs="Times New Roman"/>
          <w:color w:val="auto"/>
          <w:szCs w:val="24"/>
          <w:lang w:val="es-CO"/>
        </w:rPr>
        <w:t>4. Formato 3. Diligenciamiento de información sobre beneficios ambientales de inversiones en control del medio ambiente o conservación y mejoramiento del medio ambiente para descarga a la atmósfera o emisiones atmosféricas.</w:t>
      </w:r>
    </w:p>
    <w:p w:rsidR="00C77F97" w:rsidRDefault="00C77F97" w:rsidP="00C77F97">
      <w:pPr>
        <w:spacing w:line="240" w:lineRule="auto"/>
        <w:rPr>
          <w:rFonts w:eastAsia="Times New Roman" w:cs="Times New Roman"/>
          <w:color w:val="auto"/>
          <w:szCs w:val="24"/>
          <w:lang w:val="es-CO"/>
        </w:rPr>
      </w:pPr>
    </w:p>
    <w:p w:rsidR="00C77F97" w:rsidRPr="00C77F97" w:rsidRDefault="00C77F97" w:rsidP="00C77F97">
      <w:pPr>
        <w:spacing w:line="240" w:lineRule="auto"/>
        <w:rPr>
          <w:rFonts w:eastAsia="Times New Roman" w:cs="Times New Roman"/>
          <w:color w:val="auto"/>
          <w:szCs w:val="24"/>
          <w:lang w:val="es-CO"/>
        </w:rPr>
      </w:pPr>
      <w:r w:rsidRPr="00C77F97">
        <w:rPr>
          <w:rFonts w:eastAsia="Times New Roman" w:cs="Times New Roman"/>
          <w:color w:val="auto"/>
          <w:szCs w:val="24"/>
          <w:lang w:val="es-CO"/>
        </w:rPr>
        <w:t>5. Formato 4. Diligenciamiento de información sobre beneficios ambientales de inversiones en control del medio ambiente o conservación y mejoramiento del medio ambiente para residuos sólidos.</w:t>
      </w:r>
    </w:p>
    <w:p w:rsidR="00C77F97" w:rsidRDefault="00C77F97" w:rsidP="00C77F97">
      <w:pPr>
        <w:spacing w:line="240" w:lineRule="auto"/>
        <w:rPr>
          <w:rFonts w:eastAsia="Times New Roman" w:cs="Times New Roman"/>
          <w:color w:val="auto"/>
          <w:szCs w:val="24"/>
          <w:lang w:val="es-CO"/>
        </w:rPr>
      </w:pPr>
    </w:p>
    <w:p w:rsidR="00C77F97" w:rsidRPr="00C77F97" w:rsidRDefault="00C77F97" w:rsidP="00C77F97">
      <w:pPr>
        <w:spacing w:line="240" w:lineRule="auto"/>
        <w:rPr>
          <w:rFonts w:eastAsia="Times New Roman" w:cs="Times New Roman"/>
          <w:color w:val="auto"/>
          <w:szCs w:val="24"/>
          <w:lang w:val="es-CO"/>
        </w:rPr>
      </w:pPr>
      <w:r w:rsidRPr="00C77F97">
        <w:rPr>
          <w:rFonts w:eastAsia="Times New Roman" w:cs="Times New Roman"/>
          <w:color w:val="auto"/>
          <w:szCs w:val="24"/>
          <w:lang w:val="es-CO"/>
        </w:rPr>
        <w:t>6. Formato 5. Identificación y cálculo de la inversión en control del medio ambiente o conservación y mejoramiento del medio ambiente.</w:t>
      </w:r>
    </w:p>
    <w:p w:rsidR="00C77F97" w:rsidRPr="00C77F97" w:rsidRDefault="00C77F97" w:rsidP="00C77F97">
      <w:pPr>
        <w:spacing w:line="240" w:lineRule="auto"/>
        <w:rPr>
          <w:rFonts w:eastAsia="Times New Roman" w:cs="Times New Roman"/>
          <w:color w:val="auto"/>
          <w:szCs w:val="24"/>
          <w:lang w:val="es-CO"/>
        </w:rPr>
      </w:pPr>
      <w:r w:rsidRPr="00C77F97">
        <w:rPr>
          <w:rFonts w:eastAsia="Times New Roman" w:cs="Times New Roman"/>
          <w:color w:val="auto"/>
          <w:szCs w:val="24"/>
          <w:lang w:val="es-CO"/>
        </w:rPr>
        <w:t> </w:t>
      </w:r>
    </w:p>
    <w:p w:rsidR="00C77F97" w:rsidRPr="00C77F97" w:rsidRDefault="00C77F97" w:rsidP="00C77F97">
      <w:pPr>
        <w:spacing w:line="240" w:lineRule="auto"/>
        <w:rPr>
          <w:rFonts w:eastAsia="Times New Roman" w:cs="Times New Roman"/>
          <w:color w:val="auto"/>
          <w:szCs w:val="24"/>
          <w:lang w:val="es-CO"/>
        </w:rPr>
      </w:pPr>
      <w:r w:rsidRPr="002D4618">
        <w:rPr>
          <w:rFonts w:eastAsia="Times New Roman" w:cs="Times New Roman"/>
          <w:b/>
          <w:bCs/>
          <w:color w:val="auto"/>
          <w:szCs w:val="24"/>
          <w:highlight w:val="green"/>
          <w:lang w:val="es-CO"/>
        </w:rPr>
        <w:t>Artículo 5°.</w:t>
      </w:r>
      <w:r w:rsidRPr="002D4618">
        <w:rPr>
          <w:rFonts w:eastAsia="Times New Roman" w:cs="Times New Roman"/>
          <w:color w:val="auto"/>
          <w:szCs w:val="24"/>
          <w:highlight w:val="green"/>
          <w:lang w:val="es-CO"/>
        </w:rPr>
        <w:t> </w:t>
      </w:r>
      <w:r w:rsidRPr="002D4618">
        <w:rPr>
          <w:rFonts w:eastAsia="Times New Roman" w:cs="Times New Roman"/>
          <w:i/>
          <w:iCs/>
          <w:color w:val="auto"/>
          <w:szCs w:val="24"/>
          <w:highlight w:val="green"/>
          <w:lang w:val="es-CO"/>
        </w:rPr>
        <w:t>Procedimiento</w:t>
      </w:r>
      <w:r w:rsidRPr="002D4618">
        <w:rPr>
          <w:rFonts w:eastAsia="Times New Roman" w:cs="Times New Roman"/>
          <w:color w:val="auto"/>
          <w:szCs w:val="24"/>
          <w:highlight w:val="green"/>
          <w:lang w:val="es-CO"/>
        </w:rPr>
        <w:t>. Para obtener la acreditación o certificación de las autoridades ambientales, deberá cumplirse el siguiente procedimiento.</w:t>
      </w:r>
    </w:p>
    <w:p w:rsidR="00C77F97" w:rsidRPr="00C77F97" w:rsidRDefault="00C77F97" w:rsidP="00C77F97">
      <w:pPr>
        <w:spacing w:line="240" w:lineRule="auto"/>
        <w:rPr>
          <w:rFonts w:eastAsia="Times New Roman" w:cs="Times New Roman"/>
          <w:color w:val="auto"/>
          <w:szCs w:val="24"/>
          <w:lang w:val="es-CO"/>
        </w:rPr>
      </w:pPr>
      <w:r w:rsidRPr="00C77F97">
        <w:rPr>
          <w:rFonts w:eastAsia="Times New Roman" w:cs="Times New Roman"/>
          <w:color w:val="auto"/>
          <w:szCs w:val="24"/>
          <w:lang w:val="es-CO"/>
        </w:rPr>
        <w:t> </w:t>
      </w:r>
    </w:p>
    <w:p w:rsidR="00C77F97" w:rsidRPr="00C77F97" w:rsidRDefault="00C77F97" w:rsidP="00C77F97">
      <w:pPr>
        <w:spacing w:line="240" w:lineRule="auto"/>
        <w:rPr>
          <w:rFonts w:eastAsia="Times New Roman" w:cs="Times New Roman"/>
          <w:color w:val="auto"/>
          <w:szCs w:val="24"/>
          <w:lang w:val="es-CO"/>
        </w:rPr>
      </w:pPr>
      <w:r w:rsidRPr="00C77F97">
        <w:rPr>
          <w:rFonts w:eastAsia="Times New Roman" w:cs="Times New Roman"/>
          <w:color w:val="auto"/>
          <w:szCs w:val="24"/>
          <w:lang w:val="es-CO"/>
        </w:rPr>
        <w:t>1. El (los) solicitante(s) debe(n) radicar ante la Autoridad Ambiental Competente, la solicitud con el lleno de los requisitos de acuerdo con lo definido en la presente resolución.</w:t>
      </w:r>
    </w:p>
    <w:p w:rsidR="00C77F97" w:rsidRDefault="00C77F97" w:rsidP="00C77F97">
      <w:pPr>
        <w:spacing w:line="240" w:lineRule="auto"/>
        <w:rPr>
          <w:rFonts w:eastAsia="Times New Roman" w:cs="Times New Roman"/>
          <w:color w:val="auto"/>
          <w:szCs w:val="24"/>
          <w:lang w:val="es-CO"/>
        </w:rPr>
      </w:pPr>
    </w:p>
    <w:p w:rsidR="00C77F97" w:rsidRPr="00C77F97" w:rsidRDefault="00C77F97" w:rsidP="00C77F97">
      <w:pPr>
        <w:spacing w:line="240" w:lineRule="auto"/>
        <w:rPr>
          <w:rFonts w:eastAsia="Times New Roman" w:cs="Times New Roman"/>
          <w:color w:val="auto"/>
          <w:szCs w:val="24"/>
          <w:lang w:val="es-CO"/>
        </w:rPr>
      </w:pPr>
      <w:r w:rsidRPr="00C77F97">
        <w:rPr>
          <w:rFonts w:eastAsia="Times New Roman" w:cs="Times New Roman"/>
          <w:color w:val="auto"/>
          <w:szCs w:val="24"/>
          <w:lang w:val="es-CO"/>
        </w:rPr>
        <w:t>2. Radicada la solicitud, la Autoridad Ambiental Competente verificará que la solicitud esté completa o en caso contrario solicitará por escrito al interesado allegar la documentación e información faltante.</w:t>
      </w:r>
    </w:p>
    <w:p w:rsidR="00C77F97" w:rsidRDefault="00C77F97" w:rsidP="00C77F97">
      <w:pPr>
        <w:spacing w:line="240" w:lineRule="auto"/>
        <w:rPr>
          <w:rFonts w:eastAsia="Times New Roman" w:cs="Times New Roman"/>
          <w:color w:val="auto"/>
          <w:szCs w:val="24"/>
          <w:lang w:val="es-CO"/>
        </w:rPr>
      </w:pPr>
    </w:p>
    <w:p w:rsidR="00C77F97" w:rsidRPr="00C77F97" w:rsidRDefault="00C77F97" w:rsidP="00C77F97">
      <w:pPr>
        <w:spacing w:line="240" w:lineRule="auto"/>
        <w:rPr>
          <w:rFonts w:eastAsia="Times New Roman" w:cs="Times New Roman"/>
          <w:color w:val="auto"/>
          <w:szCs w:val="24"/>
          <w:lang w:val="es-CO"/>
        </w:rPr>
      </w:pPr>
      <w:r w:rsidRPr="00C77F97">
        <w:rPr>
          <w:rFonts w:eastAsia="Times New Roman" w:cs="Times New Roman"/>
          <w:color w:val="auto"/>
          <w:szCs w:val="24"/>
          <w:lang w:val="es-CO"/>
        </w:rPr>
        <w:t>3. Presentada la información y documentación de que trata el numeral anterior, se entenderá radicada en legal forma la solicitud, se realizará la evaluación de la misma y se emitirá el respectivo concepto.</w:t>
      </w:r>
    </w:p>
    <w:p w:rsidR="00C77F97" w:rsidRPr="00C77F97" w:rsidRDefault="00C77F97" w:rsidP="00C77F97">
      <w:pPr>
        <w:spacing w:line="240" w:lineRule="auto"/>
        <w:rPr>
          <w:rFonts w:eastAsia="Times New Roman" w:cs="Times New Roman"/>
          <w:color w:val="auto"/>
          <w:szCs w:val="24"/>
          <w:lang w:val="es-CO"/>
        </w:rPr>
      </w:pPr>
      <w:r w:rsidRPr="00C77F97">
        <w:rPr>
          <w:rFonts w:eastAsia="Times New Roman" w:cs="Times New Roman"/>
          <w:color w:val="auto"/>
          <w:szCs w:val="24"/>
          <w:lang w:val="es-CO"/>
        </w:rPr>
        <w:t> </w:t>
      </w:r>
    </w:p>
    <w:p w:rsidR="00C77F97" w:rsidRPr="00C77F97" w:rsidRDefault="00C77F97" w:rsidP="00C77F97">
      <w:pPr>
        <w:spacing w:line="240" w:lineRule="auto"/>
        <w:rPr>
          <w:rFonts w:eastAsia="Times New Roman" w:cs="Times New Roman"/>
          <w:color w:val="auto"/>
          <w:szCs w:val="24"/>
          <w:lang w:val="es-CO"/>
        </w:rPr>
      </w:pPr>
      <w:r w:rsidRPr="00C77F97">
        <w:rPr>
          <w:rFonts w:eastAsia="Times New Roman" w:cs="Times New Roman"/>
          <w:color w:val="auto"/>
          <w:szCs w:val="24"/>
          <w:lang w:val="es-CO"/>
        </w:rPr>
        <w:t>Dentro del proceso de evaluación, dado el caso se podrá solicitar al interesado información adicional.</w:t>
      </w:r>
    </w:p>
    <w:p w:rsidR="00C77F97" w:rsidRPr="00C77F97" w:rsidRDefault="00C77F97" w:rsidP="00C77F97">
      <w:pPr>
        <w:spacing w:line="240" w:lineRule="auto"/>
        <w:rPr>
          <w:rFonts w:eastAsia="Times New Roman" w:cs="Times New Roman"/>
          <w:color w:val="auto"/>
          <w:szCs w:val="24"/>
          <w:lang w:val="es-CO"/>
        </w:rPr>
      </w:pPr>
      <w:r w:rsidRPr="00C77F97">
        <w:rPr>
          <w:rFonts w:eastAsia="Times New Roman" w:cs="Times New Roman"/>
          <w:color w:val="auto"/>
          <w:szCs w:val="24"/>
          <w:lang w:val="es-CO"/>
        </w:rPr>
        <w:t> </w:t>
      </w:r>
    </w:p>
    <w:p w:rsidR="00C77F97" w:rsidRPr="00C77F97" w:rsidRDefault="00C77F97" w:rsidP="00C77F97">
      <w:pPr>
        <w:spacing w:line="240" w:lineRule="auto"/>
        <w:rPr>
          <w:rFonts w:eastAsia="Times New Roman" w:cs="Times New Roman"/>
          <w:color w:val="auto"/>
          <w:szCs w:val="24"/>
          <w:lang w:val="es-CO"/>
        </w:rPr>
      </w:pPr>
      <w:r w:rsidRPr="00C77F97">
        <w:rPr>
          <w:rFonts w:eastAsia="Times New Roman" w:cs="Times New Roman"/>
          <w:color w:val="auto"/>
          <w:szCs w:val="24"/>
          <w:lang w:val="es-CO"/>
        </w:rPr>
        <w:t>4. En un plazo no mayor a tres (3) meses, la Autoridad Ambiental Competente, mediante acto administrativo establecerá la procedencia o no de otorgar la respectiva certificación, el cual se notificará conforme a la Ley 1437 de 2011 o la norma que la modifique, sustituya o derogue. Contra el citado acto procederá el recurso de reposición acorde con lo establecido en la citada ley.</w:t>
      </w:r>
    </w:p>
    <w:p w:rsidR="00C77F97" w:rsidRDefault="00C77F97" w:rsidP="00C77F97">
      <w:pPr>
        <w:spacing w:line="240" w:lineRule="auto"/>
        <w:rPr>
          <w:rFonts w:eastAsia="Times New Roman" w:cs="Times New Roman"/>
          <w:color w:val="auto"/>
          <w:szCs w:val="24"/>
          <w:lang w:val="es-CO"/>
        </w:rPr>
      </w:pPr>
    </w:p>
    <w:p w:rsidR="00C77F97" w:rsidRPr="00C77F97" w:rsidRDefault="00C77F97" w:rsidP="00C77F97">
      <w:pPr>
        <w:spacing w:line="240" w:lineRule="auto"/>
        <w:rPr>
          <w:rFonts w:eastAsia="Times New Roman" w:cs="Times New Roman"/>
          <w:color w:val="auto"/>
          <w:szCs w:val="24"/>
          <w:lang w:val="es-CO"/>
        </w:rPr>
      </w:pPr>
      <w:r w:rsidRPr="00C77F97">
        <w:rPr>
          <w:rFonts w:eastAsia="Times New Roman" w:cs="Times New Roman"/>
          <w:color w:val="auto"/>
          <w:szCs w:val="24"/>
          <w:lang w:val="es-CO"/>
        </w:rPr>
        <w:t>5. La Autoridad Ambiental Competente enviará a la Subdirección de Fiscalización Tributaria o a la dependencia que haga sus veces de la Dirección de Impuestos y Aduanas Nacionales (DIAN), copia de las certificaciones, para efectos de que esta última realice las diligencias de vigilancia y control de su competencia y demás entidades que se considere pertinente.</w:t>
      </w:r>
    </w:p>
    <w:p w:rsidR="00C77F97" w:rsidRPr="00C77F97" w:rsidRDefault="00C77F97" w:rsidP="00C77F97">
      <w:pPr>
        <w:spacing w:line="240" w:lineRule="auto"/>
        <w:rPr>
          <w:rFonts w:eastAsia="Times New Roman" w:cs="Times New Roman"/>
          <w:color w:val="auto"/>
          <w:szCs w:val="24"/>
          <w:lang w:val="es-CO"/>
        </w:rPr>
      </w:pPr>
      <w:r w:rsidRPr="00C77F97">
        <w:rPr>
          <w:rFonts w:eastAsia="Times New Roman" w:cs="Times New Roman"/>
          <w:color w:val="auto"/>
          <w:szCs w:val="24"/>
          <w:lang w:val="es-CO"/>
        </w:rPr>
        <w:t> </w:t>
      </w:r>
    </w:p>
    <w:p w:rsidR="00C77F97" w:rsidRPr="00C77F97" w:rsidRDefault="00C77F97" w:rsidP="00C77F97">
      <w:pPr>
        <w:spacing w:line="240" w:lineRule="auto"/>
        <w:rPr>
          <w:rFonts w:eastAsia="Times New Roman" w:cs="Times New Roman"/>
          <w:color w:val="auto"/>
          <w:szCs w:val="24"/>
          <w:lang w:val="es-CO"/>
        </w:rPr>
      </w:pPr>
      <w:r w:rsidRPr="00C77F97">
        <w:rPr>
          <w:rFonts w:eastAsia="Times New Roman" w:cs="Times New Roman"/>
          <w:b/>
          <w:bCs/>
          <w:color w:val="auto"/>
          <w:szCs w:val="24"/>
          <w:lang w:val="es-CO"/>
        </w:rPr>
        <w:t>Parágrafo.</w:t>
      </w:r>
      <w:r w:rsidRPr="00C77F97">
        <w:rPr>
          <w:rFonts w:eastAsia="Times New Roman" w:cs="Times New Roman"/>
          <w:color w:val="auto"/>
          <w:szCs w:val="24"/>
          <w:lang w:val="es-CO"/>
        </w:rPr>
        <w:t> De conformidad con lo previsto en el artículo 17 de la Ley 1437 de 2011, modificado por el artículo 1° de la Ley 1755 de 2015, se entenderá que el peticionario ha desistido de su solicitud, si hecho el requerimiento de completar los requisitos o allegar la información adicional, no se da respuesta en el término de un (1) mes.</w:t>
      </w:r>
    </w:p>
    <w:p w:rsidR="00C77F97" w:rsidRPr="00C77F97" w:rsidRDefault="00C77F97" w:rsidP="00C77F97">
      <w:pPr>
        <w:spacing w:line="240" w:lineRule="auto"/>
        <w:rPr>
          <w:rFonts w:eastAsia="Times New Roman" w:cs="Times New Roman"/>
          <w:color w:val="auto"/>
          <w:szCs w:val="24"/>
          <w:lang w:val="es-CO"/>
        </w:rPr>
      </w:pPr>
      <w:r w:rsidRPr="00C77F97">
        <w:rPr>
          <w:rFonts w:eastAsia="Times New Roman" w:cs="Times New Roman"/>
          <w:color w:val="auto"/>
          <w:szCs w:val="24"/>
          <w:lang w:val="es-CO"/>
        </w:rPr>
        <w:t> </w:t>
      </w:r>
    </w:p>
    <w:p w:rsidR="00C77F97" w:rsidRPr="00C77F97" w:rsidRDefault="00C77F97" w:rsidP="00C77F97">
      <w:pPr>
        <w:spacing w:line="240" w:lineRule="auto"/>
        <w:rPr>
          <w:rFonts w:eastAsia="Times New Roman" w:cs="Times New Roman"/>
          <w:color w:val="auto"/>
          <w:szCs w:val="24"/>
          <w:lang w:val="es-CO"/>
        </w:rPr>
      </w:pPr>
      <w:r w:rsidRPr="002D4618">
        <w:rPr>
          <w:rFonts w:eastAsia="Times New Roman" w:cs="Times New Roman"/>
          <w:b/>
          <w:bCs/>
          <w:color w:val="auto"/>
          <w:szCs w:val="24"/>
          <w:highlight w:val="green"/>
          <w:lang w:val="es-CO"/>
        </w:rPr>
        <w:t>Artículo 6°.</w:t>
      </w:r>
      <w:r w:rsidRPr="002D4618">
        <w:rPr>
          <w:rFonts w:eastAsia="Times New Roman" w:cs="Times New Roman"/>
          <w:color w:val="auto"/>
          <w:szCs w:val="24"/>
          <w:highlight w:val="green"/>
          <w:lang w:val="es-CO"/>
        </w:rPr>
        <w:t> </w:t>
      </w:r>
      <w:r w:rsidRPr="002D4618">
        <w:rPr>
          <w:rFonts w:eastAsia="Times New Roman" w:cs="Times New Roman"/>
          <w:i/>
          <w:iCs/>
          <w:color w:val="auto"/>
          <w:szCs w:val="24"/>
          <w:highlight w:val="green"/>
          <w:lang w:val="es-CO"/>
        </w:rPr>
        <w:t>De la expedición de la certificación o acreditación por parte de las autoridades ambientales</w:t>
      </w:r>
      <w:r w:rsidRPr="00C77F97">
        <w:rPr>
          <w:rFonts w:eastAsia="Times New Roman" w:cs="Times New Roman"/>
          <w:i/>
          <w:iCs/>
          <w:color w:val="auto"/>
          <w:szCs w:val="24"/>
          <w:lang w:val="es-CO"/>
        </w:rPr>
        <w:t>. </w:t>
      </w:r>
      <w:r w:rsidRPr="00C77F97">
        <w:rPr>
          <w:rFonts w:eastAsia="Times New Roman" w:cs="Times New Roman"/>
          <w:color w:val="auto"/>
          <w:szCs w:val="24"/>
          <w:lang w:val="es-CO"/>
        </w:rPr>
        <w:t xml:space="preserve">Para efectos de lo dispuesto en el inciso 2° del parágrafo 1° del artículo 1.2.1.18.52 del Decreto 1625 de 2016, las autoridades ambientales competentes podrán certificar previamente a la realización de la inversión por parte de la persona jurídica </w:t>
      </w:r>
      <w:r w:rsidRPr="00C77F97">
        <w:rPr>
          <w:rFonts w:eastAsia="Times New Roman" w:cs="Times New Roman"/>
          <w:color w:val="auto"/>
          <w:szCs w:val="24"/>
          <w:lang w:val="es-CO"/>
        </w:rPr>
        <w:lastRenderedPageBreak/>
        <w:t>respectiva, que dichas inversiones son para el control del medio ambiente o conservación y mejoramiento del medio ambiente.</w:t>
      </w:r>
    </w:p>
    <w:p w:rsidR="00C77F97" w:rsidRPr="00C77F97" w:rsidRDefault="00C77F97" w:rsidP="00C77F97">
      <w:pPr>
        <w:spacing w:line="240" w:lineRule="auto"/>
        <w:rPr>
          <w:rFonts w:eastAsia="Times New Roman" w:cs="Times New Roman"/>
          <w:color w:val="auto"/>
          <w:szCs w:val="24"/>
          <w:lang w:val="es-CO"/>
        </w:rPr>
      </w:pPr>
      <w:r w:rsidRPr="00C77F97">
        <w:rPr>
          <w:rFonts w:eastAsia="Times New Roman" w:cs="Times New Roman"/>
          <w:color w:val="auto"/>
          <w:szCs w:val="24"/>
          <w:lang w:val="es-CO"/>
        </w:rPr>
        <w:t> </w:t>
      </w:r>
    </w:p>
    <w:p w:rsidR="00C77F97" w:rsidRPr="00C77F97" w:rsidRDefault="00C77F97" w:rsidP="00C77F97">
      <w:pPr>
        <w:spacing w:line="240" w:lineRule="auto"/>
        <w:rPr>
          <w:rFonts w:eastAsia="Times New Roman" w:cs="Times New Roman"/>
          <w:color w:val="auto"/>
          <w:szCs w:val="24"/>
          <w:lang w:val="es-CO"/>
        </w:rPr>
      </w:pPr>
      <w:r w:rsidRPr="002D4618">
        <w:rPr>
          <w:rFonts w:eastAsia="Times New Roman" w:cs="Times New Roman"/>
          <w:b/>
          <w:bCs/>
          <w:color w:val="auto"/>
          <w:szCs w:val="24"/>
          <w:highlight w:val="green"/>
          <w:lang w:val="es-CO"/>
        </w:rPr>
        <w:t>Artículo 7°.</w:t>
      </w:r>
      <w:r w:rsidRPr="002D4618">
        <w:rPr>
          <w:rFonts w:eastAsia="Times New Roman" w:cs="Times New Roman"/>
          <w:color w:val="auto"/>
          <w:szCs w:val="24"/>
          <w:highlight w:val="green"/>
          <w:lang w:val="es-CO"/>
        </w:rPr>
        <w:t> </w:t>
      </w:r>
      <w:r w:rsidRPr="002D4618">
        <w:rPr>
          <w:rFonts w:eastAsia="Times New Roman" w:cs="Times New Roman"/>
          <w:i/>
          <w:iCs/>
          <w:color w:val="auto"/>
          <w:szCs w:val="24"/>
          <w:highlight w:val="green"/>
          <w:lang w:val="es-CO"/>
        </w:rPr>
        <w:t>De la renovación de certificaciones o acreditaciones en los proyectos de inversión que se desarrollen por fases o etapas</w:t>
      </w:r>
      <w:r w:rsidRPr="00C77F97">
        <w:rPr>
          <w:rFonts w:eastAsia="Times New Roman" w:cs="Times New Roman"/>
          <w:i/>
          <w:iCs/>
          <w:color w:val="auto"/>
          <w:szCs w:val="24"/>
          <w:lang w:val="es-CO"/>
        </w:rPr>
        <w:t>. </w:t>
      </w:r>
      <w:r w:rsidRPr="00C77F97">
        <w:rPr>
          <w:rFonts w:eastAsia="Times New Roman" w:cs="Times New Roman"/>
          <w:color w:val="auto"/>
          <w:szCs w:val="24"/>
          <w:lang w:val="es-CO"/>
        </w:rPr>
        <w:t>De conformidad con el inciso 3° del parágrafo 1° del artículo 1.2.1.18.52 del Decreto 1625 de 2016, en los proyectos de inversión que se desarrollen en etapas o fases, el interesado deberá renovar anualmente la certificación o acreditación ante la autoridad ambiental competente, para lo cual deberán cumplir con los requisitos y el procedimiento previstos en el presente acto administrativo.</w:t>
      </w:r>
    </w:p>
    <w:p w:rsidR="00C77F97" w:rsidRPr="00C77F97" w:rsidRDefault="00C77F97" w:rsidP="00C77F97">
      <w:pPr>
        <w:spacing w:line="240" w:lineRule="auto"/>
        <w:rPr>
          <w:rFonts w:eastAsia="Times New Roman" w:cs="Times New Roman"/>
          <w:color w:val="auto"/>
          <w:szCs w:val="24"/>
          <w:lang w:val="es-CO"/>
        </w:rPr>
      </w:pPr>
      <w:r w:rsidRPr="00C77F97">
        <w:rPr>
          <w:rFonts w:eastAsia="Times New Roman" w:cs="Times New Roman"/>
          <w:color w:val="auto"/>
          <w:szCs w:val="24"/>
          <w:lang w:val="es-CO"/>
        </w:rPr>
        <w:t> </w:t>
      </w:r>
    </w:p>
    <w:p w:rsidR="00C77F97" w:rsidRPr="00C77F97" w:rsidRDefault="00C77F97" w:rsidP="00C77F97">
      <w:pPr>
        <w:spacing w:line="240" w:lineRule="auto"/>
        <w:rPr>
          <w:rFonts w:eastAsia="Times New Roman" w:cs="Times New Roman"/>
          <w:color w:val="auto"/>
          <w:szCs w:val="24"/>
          <w:lang w:val="es-CO"/>
        </w:rPr>
      </w:pPr>
      <w:r w:rsidRPr="002D4618">
        <w:rPr>
          <w:rFonts w:eastAsia="Times New Roman" w:cs="Times New Roman"/>
          <w:b/>
          <w:bCs/>
          <w:color w:val="auto"/>
          <w:szCs w:val="24"/>
          <w:highlight w:val="green"/>
          <w:lang w:val="es-CO"/>
        </w:rPr>
        <w:t>Artículo 8°.</w:t>
      </w:r>
      <w:r w:rsidRPr="002D4618">
        <w:rPr>
          <w:rFonts w:eastAsia="Times New Roman" w:cs="Times New Roman"/>
          <w:color w:val="auto"/>
          <w:szCs w:val="24"/>
          <w:highlight w:val="green"/>
          <w:lang w:val="es-CO"/>
        </w:rPr>
        <w:t> </w:t>
      </w:r>
      <w:r w:rsidRPr="002D4618">
        <w:rPr>
          <w:rFonts w:eastAsia="Times New Roman" w:cs="Times New Roman"/>
          <w:i/>
          <w:iCs/>
          <w:color w:val="auto"/>
          <w:szCs w:val="24"/>
          <w:highlight w:val="green"/>
          <w:lang w:val="es-CO"/>
        </w:rPr>
        <w:t>Vital</w:t>
      </w:r>
      <w:r w:rsidRPr="002D4618">
        <w:rPr>
          <w:rFonts w:eastAsia="Times New Roman" w:cs="Times New Roman"/>
          <w:color w:val="auto"/>
          <w:szCs w:val="24"/>
          <w:highlight w:val="green"/>
          <w:lang w:val="es-CO"/>
        </w:rPr>
        <w:t>. Las solicitudes para la obtención de las certificaciones de beneficio ambiental de que trata la presente resolución que sean de competencia de la Autoridad Nacional de Licencias Ambientales (ANLA), se recibirán y tramitarán a través de la Ventanilla Integral de Trámites Ambientales en Línea (Vital).</w:t>
      </w:r>
    </w:p>
    <w:p w:rsidR="00C77F97" w:rsidRPr="00C77F97" w:rsidRDefault="00C77F97" w:rsidP="00C77F97">
      <w:pPr>
        <w:spacing w:line="240" w:lineRule="auto"/>
        <w:rPr>
          <w:rFonts w:eastAsia="Times New Roman" w:cs="Times New Roman"/>
          <w:color w:val="auto"/>
          <w:szCs w:val="24"/>
          <w:lang w:val="es-CO"/>
        </w:rPr>
      </w:pPr>
      <w:r w:rsidRPr="00C77F97">
        <w:rPr>
          <w:rFonts w:eastAsia="Times New Roman" w:cs="Times New Roman"/>
          <w:color w:val="auto"/>
          <w:szCs w:val="24"/>
          <w:lang w:val="es-CO"/>
        </w:rPr>
        <w:t> </w:t>
      </w:r>
    </w:p>
    <w:p w:rsidR="00C77F97" w:rsidRPr="00C77F97" w:rsidRDefault="00C77F97" w:rsidP="00C77F97">
      <w:pPr>
        <w:spacing w:line="240" w:lineRule="auto"/>
        <w:rPr>
          <w:rFonts w:eastAsia="Times New Roman" w:cs="Times New Roman"/>
          <w:color w:val="auto"/>
          <w:szCs w:val="24"/>
          <w:lang w:val="es-CO"/>
        </w:rPr>
      </w:pPr>
      <w:r w:rsidRPr="00C77F97">
        <w:rPr>
          <w:rFonts w:eastAsia="Times New Roman" w:cs="Times New Roman"/>
          <w:b/>
          <w:bCs/>
          <w:color w:val="auto"/>
          <w:szCs w:val="24"/>
          <w:lang w:val="es-CO"/>
        </w:rPr>
        <w:t>Artículo 9°.</w:t>
      </w:r>
      <w:r w:rsidRPr="00C77F97">
        <w:rPr>
          <w:rFonts w:eastAsia="Times New Roman" w:cs="Times New Roman"/>
          <w:color w:val="auto"/>
          <w:szCs w:val="24"/>
          <w:lang w:val="es-CO"/>
        </w:rPr>
        <w:t> </w:t>
      </w:r>
      <w:r w:rsidRPr="00C77F97">
        <w:rPr>
          <w:rFonts w:eastAsia="Times New Roman" w:cs="Times New Roman"/>
          <w:i/>
          <w:iCs/>
          <w:color w:val="auto"/>
          <w:szCs w:val="24"/>
          <w:lang w:val="es-CO"/>
        </w:rPr>
        <w:t>Vigencia, correcciones y derogatorias. </w:t>
      </w:r>
      <w:r w:rsidRPr="00C77F97">
        <w:rPr>
          <w:rFonts w:eastAsia="Times New Roman" w:cs="Times New Roman"/>
          <w:color w:val="auto"/>
          <w:szCs w:val="24"/>
          <w:lang w:val="es-CO"/>
        </w:rPr>
        <w:t>La presente resolución rige a partir de la fecha de su publicación, deroga las disposiciones que le sean contrarias y:</w:t>
      </w:r>
    </w:p>
    <w:p w:rsidR="00C77F97" w:rsidRPr="00C77F97" w:rsidRDefault="00C77F97" w:rsidP="00C77F97">
      <w:pPr>
        <w:spacing w:line="240" w:lineRule="auto"/>
        <w:rPr>
          <w:rFonts w:eastAsia="Times New Roman" w:cs="Times New Roman"/>
          <w:color w:val="auto"/>
          <w:szCs w:val="24"/>
          <w:lang w:val="es-CO"/>
        </w:rPr>
      </w:pPr>
      <w:r w:rsidRPr="00C77F97">
        <w:rPr>
          <w:rFonts w:eastAsia="Times New Roman" w:cs="Times New Roman"/>
          <w:color w:val="auto"/>
          <w:szCs w:val="24"/>
          <w:lang w:val="es-CO"/>
        </w:rPr>
        <w:t> </w:t>
      </w:r>
    </w:p>
    <w:p w:rsidR="00C77F97" w:rsidRPr="00C77F97" w:rsidRDefault="00C77F97" w:rsidP="00C77F97">
      <w:pPr>
        <w:spacing w:line="240" w:lineRule="auto"/>
        <w:rPr>
          <w:rFonts w:eastAsia="Times New Roman" w:cs="Times New Roman"/>
          <w:color w:val="auto"/>
          <w:szCs w:val="24"/>
          <w:lang w:val="es-CO"/>
        </w:rPr>
      </w:pPr>
      <w:r w:rsidRPr="00C77F97">
        <w:rPr>
          <w:rFonts w:eastAsia="Times New Roman" w:cs="Times New Roman"/>
          <w:color w:val="auto"/>
          <w:szCs w:val="24"/>
          <w:lang w:val="es-CO"/>
        </w:rPr>
        <w:t>1. Corrige la referencia normativa “artículo 3°” prevista en el encabezado del artículo 4° de la Resolución 2000 de 2017 por la referencia normativa “artículo 5°”.</w:t>
      </w:r>
    </w:p>
    <w:p w:rsidR="00C77F97" w:rsidRDefault="00C77F97" w:rsidP="00C77F97">
      <w:pPr>
        <w:spacing w:line="240" w:lineRule="auto"/>
        <w:rPr>
          <w:rFonts w:eastAsia="Times New Roman" w:cs="Times New Roman"/>
          <w:color w:val="auto"/>
          <w:szCs w:val="24"/>
          <w:lang w:val="es-CO"/>
        </w:rPr>
      </w:pPr>
    </w:p>
    <w:p w:rsidR="00C77F97" w:rsidRPr="00C77F97" w:rsidRDefault="00C77F97" w:rsidP="00C77F97">
      <w:pPr>
        <w:spacing w:line="240" w:lineRule="auto"/>
        <w:rPr>
          <w:rFonts w:eastAsia="Times New Roman" w:cs="Times New Roman"/>
          <w:color w:val="auto"/>
          <w:szCs w:val="24"/>
          <w:lang w:val="es-CO"/>
        </w:rPr>
      </w:pPr>
      <w:r w:rsidRPr="00C77F97">
        <w:rPr>
          <w:rFonts w:eastAsia="Times New Roman" w:cs="Times New Roman"/>
          <w:color w:val="auto"/>
          <w:szCs w:val="24"/>
          <w:lang w:val="es-CO"/>
        </w:rPr>
        <w:t>2. Corrige la referencia normativa “numeral 3 del artículo 1°” prevista en el segundo inciso del numeral 1 del artículo 4° de la Resolución 2000 de 2017 por la referencia normativa “numeral 3 del artículo 3°”.</w:t>
      </w:r>
    </w:p>
    <w:p w:rsidR="00C77F97" w:rsidRDefault="00C77F97" w:rsidP="00C77F97">
      <w:pPr>
        <w:spacing w:line="240" w:lineRule="auto"/>
        <w:rPr>
          <w:rFonts w:eastAsia="Times New Roman" w:cs="Times New Roman"/>
          <w:color w:val="auto"/>
          <w:szCs w:val="24"/>
          <w:lang w:val="es-CO"/>
        </w:rPr>
      </w:pPr>
    </w:p>
    <w:p w:rsidR="00C77F97" w:rsidRPr="00C77F97" w:rsidRDefault="00C77F97" w:rsidP="00C77F97">
      <w:pPr>
        <w:spacing w:line="240" w:lineRule="auto"/>
        <w:rPr>
          <w:rFonts w:eastAsia="Times New Roman" w:cs="Times New Roman"/>
          <w:color w:val="auto"/>
          <w:szCs w:val="24"/>
          <w:lang w:val="es-CO"/>
        </w:rPr>
      </w:pPr>
      <w:r w:rsidRPr="00C77F97">
        <w:rPr>
          <w:rFonts w:eastAsia="Times New Roman" w:cs="Times New Roman"/>
          <w:color w:val="auto"/>
          <w:szCs w:val="24"/>
          <w:lang w:val="es-CO"/>
        </w:rPr>
        <w:t>3. Corrige la referencia normativa “artículo 2°” prevista en el encabezado del artículo 5° de la Resolución 2000 de 2017 por la referencia normativa “artículo 4°”.</w:t>
      </w:r>
    </w:p>
    <w:p w:rsidR="00C77F97" w:rsidRDefault="00C77F97" w:rsidP="00C77F97">
      <w:pPr>
        <w:spacing w:line="240" w:lineRule="auto"/>
        <w:rPr>
          <w:rFonts w:eastAsia="Times New Roman" w:cs="Times New Roman"/>
          <w:color w:val="auto"/>
          <w:szCs w:val="24"/>
          <w:lang w:val="es-CO"/>
        </w:rPr>
      </w:pPr>
    </w:p>
    <w:p w:rsidR="00C77F97" w:rsidRPr="00C77F97" w:rsidRDefault="00C77F97" w:rsidP="00C77F97">
      <w:pPr>
        <w:spacing w:line="240" w:lineRule="auto"/>
        <w:rPr>
          <w:rFonts w:eastAsia="Times New Roman" w:cs="Times New Roman"/>
          <w:color w:val="auto"/>
          <w:szCs w:val="24"/>
          <w:lang w:val="es-CO"/>
        </w:rPr>
      </w:pPr>
      <w:r w:rsidRPr="00C77F97">
        <w:rPr>
          <w:rFonts w:eastAsia="Times New Roman" w:cs="Times New Roman"/>
          <w:color w:val="auto"/>
          <w:szCs w:val="24"/>
          <w:lang w:val="es-CO"/>
        </w:rPr>
        <w:t>4. Corrige las referencias normativas “artículos 2° y 3°” previstas en el numeral 1 del artículo 7° de la Resolución 2000 de 2017 por las referencias normativas “artículos 4° y 5°”.</w:t>
      </w:r>
    </w:p>
    <w:p w:rsidR="00C77F97" w:rsidRDefault="00C77F97" w:rsidP="00C77F97">
      <w:pPr>
        <w:spacing w:line="240" w:lineRule="auto"/>
        <w:rPr>
          <w:rFonts w:eastAsia="Times New Roman" w:cs="Times New Roman"/>
          <w:color w:val="auto"/>
          <w:szCs w:val="24"/>
          <w:lang w:val="es-CO"/>
        </w:rPr>
      </w:pPr>
    </w:p>
    <w:p w:rsidR="00C77F97" w:rsidRPr="00C77F97" w:rsidRDefault="00C77F97" w:rsidP="00C77F97">
      <w:pPr>
        <w:spacing w:line="240" w:lineRule="auto"/>
        <w:rPr>
          <w:rFonts w:eastAsia="Times New Roman" w:cs="Times New Roman"/>
          <w:color w:val="auto"/>
          <w:szCs w:val="24"/>
          <w:lang w:val="es-CO"/>
        </w:rPr>
      </w:pPr>
      <w:r w:rsidRPr="00C77F97">
        <w:rPr>
          <w:rFonts w:eastAsia="Times New Roman" w:cs="Times New Roman"/>
          <w:color w:val="auto"/>
          <w:szCs w:val="24"/>
          <w:lang w:val="es-CO"/>
        </w:rPr>
        <w:t>5. Corrige la referencia normativa “artículo 6°” prevista en el parágrafo 1° del artículo 8° de la Resolución 2000 de 2017 por la referencia normativa “artículo 9°”.</w:t>
      </w:r>
    </w:p>
    <w:p w:rsidR="00C77F97" w:rsidRDefault="00C77F97" w:rsidP="00C77F97">
      <w:pPr>
        <w:spacing w:line="240" w:lineRule="auto"/>
        <w:rPr>
          <w:rFonts w:eastAsia="Times New Roman" w:cs="Times New Roman"/>
          <w:color w:val="auto"/>
          <w:szCs w:val="24"/>
          <w:lang w:val="es-CO"/>
        </w:rPr>
      </w:pPr>
    </w:p>
    <w:p w:rsidR="00C77F97" w:rsidRPr="00C77F97" w:rsidRDefault="00C77F97" w:rsidP="00C77F97">
      <w:pPr>
        <w:spacing w:line="240" w:lineRule="auto"/>
        <w:rPr>
          <w:rFonts w:eastAsia="Times New Roman" w:cs="Times New Roman"/>
          <w:color w:val="auto"/>
          <w:szCs w:val="24"/>
          <w:lang w:val="es-CO"/>
        </w:rPr>
      </w:pPr>
      <w:r w:rsidRPr="00C77F97">
        <w:rPr>
          <w:rFonts w:eastAsia="Times New Roman" w:cs="Times New Roman"/>
          <w:color w:val="auto"/>
          <w:szCs w:val="24"/>
          <w:lang w:val="es-CO"/>
        </w:rPr>
        <w:t>6. Suprime las expresiones “modelo o referencia” contenidas en el artículo 8° de la Resolución 2000 de 2017 del Ministerio de Ambiente y Desarrollo Sostenible.</w:t>
      </w:r>
    </w:p>
    <w:p w:rsidR="00C77F97" w:rsidRPr="00C77F97" w:rsidRDefault="00C77F97" w:rsidP="00C77F97">
      <w:pPr>
        <w:spacing w:line="240" w:lineRule="auto"/>
        <w:rPr>
          <w:rFonts w:eastAsia="Times New Roman" w:cs="Times New Roman"/>
          <w:color w:val="auto"/>
          <w:szCs w:val="24"/>
          <w:lang w:val="es-CO"/>
        </w:rPr>
      </w:pPr>
      <w:r w:rsidRPr="00C77F97">
        <w:rPr>
          <w:rFonts w:eastAsia="Times New Roman" w:cs="Times New Roman"/>
          <w:color w:val="auto"/>
          <w:szCs w:val="24"/>
          <w:lang w:val="es-CO"/>
        </w:rPr>
        <w:t> </w:t>
      </w:r>
    </w:p>
    <w:p w:rsidR="00C77F97" w:rsidRPr="00C77F97" w:rsidRDefault="00C77F97" w:rsidP="00C77F97">
      <w:pPr>
        <w:spacing w:line="240" w:lineRule="auto"/>
        <w:rPr>
          <w:rFonts w:eastAsia="Times New Roman" w:cs="Times New Roman"/>
          <w:color w:val="auto"/>
          <w:szCs w:val="24"/>
          <w:lang w:val="es-CO"/>
        </w:rPr>
      </w:pPr>
      <w:r w:rsidRPr="00C77F97">
        <w:rPr>
          <w:rFonts w:eastAsia="Times New Roman" w:cs="Times New Roman"/>
          <w:b/>
          <w:bCs/>
          <w:color w:val="auto"/>
          <w:szCs w:val="24"/>
          <w:lang w:val="es-CO"/>
        </w:rPr>
        <w:t>Publíquese y cúmplase.</w:t>
      </w:r>
    </w:p>
    <w:p w:rsidR="00C77F97" w:rsidRPr="00C77F97" w:rsidRDefault="00C77F97" w:rsidP="00C77F97">
      <w:pPr>
        <w:spacing w:line="240" w:lineRule="auto"/>
        <w:rPr>
          <w:rFonts w:eastAsia="Times New Roman" w:cs="Times New Roman"/>
          <w:color w:val="auto"/>
          <w:szCs w:val="24"/>
          <w:lang w:val="es-CO"/>
        </w:rPr>
      </w:pPr>
      <w:r w:rsidRPr="00C77F97">
        <w:rPr>
          <w:rFonts w:eastAsia="Times New Roman" w:cs="Times New Roman"/>
          <w:color w:val="auto"/>
          <w:szCs w:val="24"/>
          <w:lang w:val="es-CO"/>
        </w:rPr>
        <w:t>Dada en Bogotá, D. C., a 3 de abril de 2018.</w:t>
      </w:r>
    </w:p>
    <w:p w:rsidR="00C77F97" w:rsidRPr="00C77F97" w:rsidRDefault="00C77F97" w:rsidP="00C77F97">
      <w:pPr>
        <w:spacing w:line="240" w:lineRule="auto"/>
        <w:rPr>
          <w:rFonts w:eastAsia="Times New Roman" w:cs="Times New Roman"/>
          <w:color w:val="auto"/>
          <w:szCs w:val="24"/>
          <w:lang w:val="es-CO"/>
        </w:rPr>
      </w:pPr>
      <w:r w:rsidRPr="00C77F97">
        <w:rPr>
          <w:rFonts w:eastAsia="Times New Roman" w:cs="Times New Roman"/>
          <w:color w:val="auto"/>
          <w:szCs w:val="24"/>
          <w:lang w:val="es-CO"/>
        </w:rPr>
        <w:t> </w:t>
      </w:r>
    </w:p>
    <w:p w:rsidR="00C77F97" w:rsidRPr="00C77F97" w:rsidRDefault="00C77F97" w:rsidP="00C77F97">
      <w:pPr>
        <w:spacing w:line="240" w:lineRule="auto"/>
        <w:rPr>
          <w:rFonts w:eastAsia="Times New Roman" w:cs="Times New Roman"/>
          <w:color w:val="auto"/>
          <w:szCs w:val="24"/>
          <w:lang w:val="es-CO"/>
        </w:rPr>
      </w:pPr>
      <w:r w:rsidRPr="00C77F97">
        <w:rPr>
          <w:rFonts w:eastAsia="Times New Roman" w:cs="Times New Roman"/>
          <w:color w:val="auto"/>
          <w:szCs w:val="24"/>
          <w:lang w:val="es-CO"/>
        </w:rPr>
        <w:t> </w:t>
      </w:r>
    </w:p>
    <w:p w:rsidR="00C77F97" w:rsidRPr="00C77F97" w:rsidRDefault="00C77F97" w:rsidP="00C77F97">
      <w:pPr>
        <w:spacing w:line="240" w:lineRule="auto"/>
        <w:rPr>
          <w:rFonts w:eastAsia="Times New Roman" w:cs="Times New Roman"/>
          <w:color w:val="auto"/>
          <w:szCs w:val="24"/>
          <w:lang w:val="es-CO"/>
        </w:rPr>
      </w:pPr>
      <w:r w:rsidRPr="00C77F97">
        <w:rPr>
          <w:rFonts w:eastAsia="Times New Roman" w:cs="Times New Roman"/>
          <w:b/>
          <w:bCs/>
          <w:color w:val="auto"/>
          <w:szCs w:val="24"/>
          <w:lang w:val="es-CO"/>
        </w:rPr>
        <w:t>El Ministro de Ambiente y Desarrollo Sostenible,</w:t>
      </w:r>
    </w:p>
    <w:p w:rsidR="00C77F97" w:rsidRPr="00C77F97" w:rsidRDefault="00C77F97" w:rsidP="00C77F97">
      <w:pPr>
        <w:spacing w:line="240" w:lineRule="auto"/>
        <w:jc w:val="right"/>
        <w:rPr>
          <w:rFonts w:eastAsia="Times New Roman" w:cs="Times New Roman"/>
          <w:color w:val="auto"/>
          <w:szCs w:val="24"/>
          <w:lang w:val="es-CO"/>
        </w:rPr>
      </w:pPr>
      <w:r w:rsidRPr="00C77F97">
        <w:rPr>
          <w:rFonts w:eastAsia="Times New Roman" w:cs="Times New Roman"/>
          <w:b/>
          <w:bCs/>
          <w:i/>
          <w:iCs/>
          <w:color w:val="auto"/>
          <w:szCs w:val="24"/>
          <w:lang w:val="es-CO"/>
        </w:rPr>
        <w:t> </w:t>
      </w:r>
    </w:p>
    <w:p w:rsidR="00C77F97" w:rsidRPr="00C77F97" w:rsidRDefault="00C77F97" w:rsidP="00C77F97">
      <w:pPr>
        <w:spacing w:line="240" w:lineRule="auto"/>
        <w:rPr>
          <w:rFonts w:eastAsia="Times New Roman" w:cs="Times New Roman"/>
          <w:color w:val="auto"/>
          <w:szCs w:val="24"/>
          <w:lang w:val="es-CO"/>
        </w:rPr>
      </w:pPr>
      <w:r w:rsidRPr="00C77F97">
        <w:rPr>
          <w:rFonts w:eastAsia="Times New Roman" w:cs="Times New Roman"/>
          <w:i/>
          <w:iCs/>
          <w:color w:val="auto"/>
          <w:szCs w:val="24"/>
          <w:lang w:val="es-CO"/>
        </w:rPr>
        <w:t>Luis Gilberto Murillo Urrutia.</w:t>
      </w:r>
    </w:p>
    <w:p w:rsidR="00C77F97" w:rsidRPr="00C77F97" w:rsidRDefault="00C77F97" w:rsidP="00C77F97">
      <w:pPr>
        <w:spacing w:line="240" w:lineRule="auto"/>
        <w:rPr>
          <w:rFonts w:eastAsia="Times New Roman" w:cs="Times New Roman"/>
          <w:color w:val="auto"/>
          <w:szCs w:val="24"/>
          <w:lang w:val="es-CO"/>
        </w:rPr>
      </w:pPr>
      <w:r w:rsidRPr="00C77F97">
        <w:rPr>
          <w:rFonts w:eastAsia="Times New Roman" w:cs="Times New Roman"/>
          <w:i/>
          <w:iCs/>
          <w:color w:val="auto"/>
          <w:szCs w:val="24"/>
          <w:lang w:val="es-CO"/>
        </w:rPr>
        <w:t>  </w:t>
      </w:r>
    </w:p>
    <w:p w:rsidR="00C77F97" w:rsidRPr="00C77F97" w:rsidRDefault="002D4618" w:rsidP="00C77F97">
      <w:pPr>
        <w:spacing w:line="240" w:lineRule="auto"/>
        <w:rPr>
          <w:rFonts w:eastAsia="Times New Roman" w:cs="Times New Roman"/>
          <w:color w:val="auto"/>
          <w:szCs w:val="24"/>
          <w:lang w:val="es-CO"/>
        </w:rPr>
      </w:pPr>
      <w:hyperlink r:id="rId4" w:history="1">
        <w:r w:rsidR="00C77F97" w:rsidRPr="002D4618">
          <w:rPr>
            <w:rFonts w:eastAsia="Times New Roman" w:cs="Times New Roman"/>
            <w:b/>
            <w:bCs/>
            <w:color w:val="auto"/>
            <w:szCs w:val="24"/>
            <w:highlight w:val="green"/>
            <w:u w:val="single"/>
            <w:lang w:val="es-CO"/>
          </w:rPr>
          <w:t>Ver anexo</w:t>
        </w:r>
      </w:hyperlink>
      <w:r w:rsidR="00C77F97" w:rsidRPr="002D4618">
        <w:rPr>
          <w:rFonts w:eastAsia="Times New Roman" w:cs="Times New Roman"/>
          <w:b/>
          <w:bCs/>
          <w:color w:val="auto"/>
          <w:szCs w:val="24"/>
          <w:highlight w:val="green"/>
          <w:lang w:val="es-CO"/>
        </w:rPr>
        <w:t>.</w:t>
      </w:r>
      <w:bookmarkStart w:id="0" w:name="_GoBack"/>
      <w:bookmarkEnd w:id="0"/>
    </w:p>
    <w:p w:rsidR="00C77F97" w:rsidRPr="00C77F97" w:rsidRDefault="00C77F97" w:rsidP="00C77F97">
      <w:pPr>
        <w:spacing w:line="240" w:lineRule="auto"/>
        <w:rPr>
          <w:rFonts w:eastAsia="Times New Roman" w:cs="Times New Roman"/>
          <w:color w:val="auto"/>
          <w:szCs w:val="24"/>
          <w:lang w:val="es-CO"/>
        </w:rPr>
      </w:pPr>
      <w:r w:rsidRPr="00C77F97">
        <w:rPr>
          <w:rFonts w:eastAsia="Times New Roman" w:cs="Times New Roman"/>
          <w:b/>
          <w:bCs/>
          <w:color w:val="auto"/>
          <w:szCs w:val="24"/>
          <w:lang w:val="es-CO"/>
        </w:rPr>
        <w:t> </w:t>
      </w:r>
    </w:p>
    <w:p w:rsidR="00C77F97" w:rsidRDefault="00C77F97" w:rsidP="00C77F97">
      <w:pPr>
        <w:spacing w:line="240" w:lineRule="auto"/>
        <w:rPr>
          <w:rFonts w:eastAsia="Times New Roman" w:cs="Times New Roman"/>
          <w:b/>
          <w:bCs/>
          <w:color w:val="auto"/>
          <w:szCs w:val="24"/>
          <w:lang w:val="es-CO"/>
        </w:rPr>
      </w:pPr>
      <w:r w:rsidRPr="00C77F97">
        <w:rPr>
          <w:rFonts w:eastAsia="Times New Roman" w:cs="Times New Roman"/>
          <w:b/>
          <w:bCs/>
          <w:color w:val="auto"/>
          <w:szCs w:val="24"/>
          <w:lang w:val="es-CO"/>
        </w:rPr>
        <w:t>Publicada en D.O. 50.554 del 4 de abril de 2018.</w:t>
      </w:r>
    </w:p>
    <w:p w:rsidR="00C77F97" w:rsidRPr="00C77F97" w:rsidRDefault="00C77F97" w:rsidP="00C77F97">
      <w:pPr>
        <w:spacing w:line="240" w:lineRule="auto"/>
        <w:rPr>
          <w:rFonts w:eastAsia="Times New Roman" w:cs="Times New Roman"/>
          <w:color w:val="auto"/>
          <w:szCs w:val="24"/>
          <w:lang w:val="es-CO"/>
        </w:rPr>
      </w:pPr>
      <w:r>
        <w:rPr>
          <w:rFonts w:eastAsia="Times New Roman" w:cs="Times New Roman"/>
          <w:b/>
          <w:bCs/>
          <w:color w:val="auto"/>
          <w:szCs w:val="24"/>
          <w:lang w:val="es-CO"/>
        </w:rPr>
        <w:t>_________________________________________________________________________</w:t>
      </w:r>
    </w:p>
    <w:p w:rsidR="00147980" w:rsidRPr="00C77F97" w:rsidRDefault="00147980">
      <w:pPr>
        <w:rPr>
          <w:rFonts w:cs="Times New Roman"/>
          <w:color w:val="auto"/>
          <w:szCs w:val="24"/>
          <w:lang w:val="es-CO"/>
        </w:rPr>
      </w:pPr>
    </w:p>
    <w:sectPr w:rsidR="00147980" w:rsidRPr="00C77F97" w:rsidSect="00B66046">
      <w:pgSz w:w="12191" w:h="1871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F97"/>
    <w:rsid w:val="00147980"/>
    <w:rsid w:val="002D4618"/>
    <w:rsid w:val="00B66046"/>
    <w:rsid w:val="00C77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418CA8-1437-44B9-ABAB-34F8A895F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Arial"/>
        <w:color w:val="222222"/>
        <w:sz w:val="24"/>
        <w:szCs w:val="22"/>
        <w:lang w:val="en-US"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335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eta.org.co/html/clases/DownloadManager.asp?file=Anexos\34025\Anexo%20Res%200509%202018.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3028</Words>
  <Characters>17261</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2</cp:revision>
  <dcterms:created xsi:type="dcterms:W3CDTF">2018-04-22T15:49:00Z</dcterms:created>
  <dcterms:modified xsi:type="dcterms:W3CDTF">2018-10-13T22:18:00Z</dcterms:modified>
</cp:coreProperties>
</file>